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b3a4" w14:textId="dbfb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"Шетел, қазақ және орыс тілдері бойынша түсу емтихандарын ұйымдастыру мен өткізу жөніндегі нұсқаулықты бекіту туралы" Қазақстан Республикасы Білім және ғылым министрінің міндетін атқарушының 2011 жылғы 1 шілдедегі № 301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2015 жылғы 29 маусымдағы № 421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«Шетел, қазақ және орыс тілдері бойынша түсу емтихандарын ұйымдастыру мен өткізу жөніндегі нұсқаулықты бекіту туралы» Қазақстан Республикасы Білім және ғылым министрінің міндетін атқарушының 2011 жылғы 11 шілдедегі 301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2011 жылғы 8 тамызда № 7104 болып тіркелген, «Егемен Қазақстан» газетінде 2012 жылғы 12 маусымдағы № 313-317 (27391)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оку орнынан кейінгі білім, халықаралық ынтымақтастық департаменті (С.С. Ысмағұлова) белгіленген заңнамалық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Білім және ғылым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         Т. Балықбаев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