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7ab9a" w14:textId="117ab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"Халықты жұмыспен қамту туралы" Қазақстан Республикасының 2001 жылғы 23 қаңтардағы Заңын іске асыру жөніндегі шаралар туралы" 2001 жылғы 19 маусымдағы № 836 және "Қазақстан Республикасына шетелдік жұмыс күшін тартуға арналған квотаны белгілеу қағидаларын және Шетелдік қызметкерге жұмысқа орналасуға және жұмыс берушілерге шетелдік жұмыс күшін тартуға рұқсат берудің қағидалары мен шарттарын бекіту және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қаулысына өзгеріс енгізу туралы" 2012 жылғы 13 қаңтардағы № 45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2013 жылғы 8 қарашадағы № 1188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Үкіметінің 11.08.2018 </w:t>
      </w:r>
      <w:r>
        <w:rPr>
          <w:rFonts w:ascii="Times New Roman"/>
          <w:b w:val="false"/>
          <w:i w:val="false"/>
          <w:color w:val="000000"/>
          <w:sz w:val="28"/>
        </w:rPr>
        <w:t>№ 502</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25.01.2017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25.01.2017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бастап қолданысқа енгізіледі);11.08.2018 </w:t>
      </w:r>
      <w:r>
        <w:rPr>
          <w:rFonts w:ascii="Times New Roman"/>
          <w:b w:val="false"/>
          <w:i w:val="false"/>
          <w:color w:val="ff0000"/>
          <w:sz w:val="28"/>
        </w:rPr>
        <w:t>№ 501</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27" w:id="2"/>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еткен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