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f5a3" w14:textId="741f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2015 жылғы 4 желтоқсандағы № 968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27-28, 168-құжат)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мазмұндағы алтыншы бөлікпен толықтырылсын:</w:t>
      </w:r>
      <w:r>
        <w:br/>
      </w:r>
      <w:r>
        <w:rPr>
          <w:rFonts w:ascii="Times New Roman"/>
          <w:b w:val="false"/>
          <w:i w:val="false"/>
          <w:color w:val="000000"/>
          <w:sz w:val="28"/>
        </w:rPr>
        <w:t>
      «Қазақстан Республикасы Үкіметінің резервінен нысаналы аударымға ақша бөлінген жағдайда, Қазақстан Республикасы Үкіметінің шешімі бойынша құрылған және Қазақстан Республикасының аумағында халықаралық мамандандырылған көрмені ұйымдастыру және өткізу жөніндегі қызметті жүзеге асыратын заңды тұлға акцияларының мемлекеттік пакетін иелену және пайдалану құқығын жүзеге асыратын тиісті мемлекеттік орган бюджетті атқару жөніндегі уәкілетті органға нысаналы аударымға жиынтық есептеулер мен негіздемелерді қоса бере отырып, ақша бөлу туралы қолдаухат ұсынады.».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