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ecfa" w14:textId="cb9e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29 маусымдағы № 448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көзделмеген шығындар – көзделмегендігіне байланысты ағымдағы қаржы жылына арналған республикалық және жергілікті бюджеттерді әзірлеу кезінде жоспарланбаған және ағымдағы қаржы жылында дереу, оның ішінде мемлекет кепілдік берген қарыздарды уақтылы өтемеу және оларға уақтылы қызмет көрсетпеу Қазақстан Республикасы үшін беделдік және қаржылық салдарға әкеп соғатын тәуекелдер бойынша не инженерлік инфрақұрылым құрылысының қымбаттау және (немесе) тоқтап қалу тәуекелдері болған кезде қаржыландыруды талап ететін шығындар;";</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