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800c" w14:textId="8bd8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 ақпандағы № 190 "Жер салығының базалық ставкаларын түзету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2010 жылғы 21 қазандағы № 244 шешімі. Қостанай облысы Денисов ауданының Әділет басқармасында 2010 жылғы 2 желтоқсанда № 9-8-163 тіркелді. Күші жойылды - Қостанай облысы Денисов ауданы мәслихатының 2015 жылғы 20 ақпандағы № 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мәслихатының 20.02.2015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2010 жылғы 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ставкаларын түзету туралы" (нормативтік құқықтық кесімдердің мемлекеттік тіркеу тізілімінде № 9-8-147 нөмірімен тіркелген, 2010 жылғы 26 наурызда "Наше время" газетінде жарияланған) шешіміне келесі толықтыруларды енгізу: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барлық мәтіні бойынша "автотұрақтар" сөздерінен кейін "(паркингтер), Қазақстан Республикасының 2008 жылғы 10 желтоқсандағы "Салық және бюджетке төленетін басқа да міндетті төлемдер туралы" кодексінің 386 бабының 1-1 тармағында көрсетілгеннен басқа" сөздермен толықтыру.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 С. Однодворский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Мақашев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Е. Баймұрзин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