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4857" w14:textId="8be4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2013 жылғы 22 ақпандағы N 10/02 қаулысы. Қарағанды облысының Әділет департаментінде 2013 жылғы 26 наурызда N 2266 болып тіркелді. Күші жойылды - Қарағанды облысы Осакаров ауданы әкімдігінің 2013 жылғы 29 сәуірдегі N 23/01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29.04.2013 N 23/01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"Семей ядролық сынақ полигонында ядролық сынақтардың салдарынан зардап шеккен азаматтарды тіркеу және есепке алу"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Асылбек Серікұлы Молдабаевқа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 Аймақов</w:t>
      </w:r>
    </w:p>
    <w:bookmarkStart w:name="z5" w:id="1"/>
    <w:p>
      <w:pPr>
        <w:spacing w:after="0"/>
        <w:ind w:left="0"/>
        <w:jc w:val="both"/>
      </w:pPr>
      <w:r>
        <w:rPr>
          <w:rFonts w:ascii="Times New Roman"/>
          <w:b w:val="false"/>
          <w:i w:val="false"/>
          <w:color w:val="000000"/>
          <w:sz w:val="28"/>
        </w:rPr>
        <w:t>
Осакаров ауданы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N 10/02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 мемлекеттік қызметін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"Осакаров ауданының жұмыспен қамту және әлеуметтік бағдарламалар бөлімі" мемлекеттік мекемесі;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4) халыққа қызмет көрсету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 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 арнайы комиссияның жұмыс органы және орталық (баламалы негізде)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xml:space="preserve">
      7. Арнайы комиссия жұмыс органының орналасқан жері: 101000, Қарағанды облысы, Осакаров ауданы, Осакаровка кенті, Мостовая көшесі, 48, "Осакаров ауданының жұмыспен қамту және әлеуметтік бағдарламалар бөлімі" мемлекеттік мекемесі, телефон: 8 (72149) 42154. </w:t>
      </w:r>
      <w:r>
        <w:br/>
      </w:r>
      <w:r>
        <w:rPr>
          <w:rFonts w:ascii="Times New Roman"/>
          <w:b w:val="false"/>
          <w:i w:val="false"/>
          <w:color w:val="000000"/>
          <w:sz w:val="28"/>
        </w:rPr>
        <w:t xml:space="preserve">
      Орталықтың орналасқан жері: 101000, Қарағанды облысы, Осакаров ауданы, Осакаровка кенті, Пристанционная көшесі, 12, телефон: 8 (72149) 43263,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N 1 бөлімі" және 101012, Қарағанды облысы, Осакаров ауданы, Молодежный кенті, Абая көшесі, 13, телефон: 8 (72148) 22246,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Осакаров ауданындағы N 2 бөлімі". </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Мемлекеттік қызмет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жұмыс кестесіне сәйкес көрсетіледі.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және қажет құжаттар туралы толық ақпарат Осакаров ауданының әкім аппаратының www.osak-akimat.kz интернет-ресурсында, арнайы комиссияның жұмыс органының және орталықтың ақпараттық стенділерінде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xml:space="preserve">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 </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береді;</w:t>
      </w:r>
      <w:r>
        <w:br/>
      </w:r>
      <w:r>
        <w:rPr>
          <w:rFonts w:ascii="Times New Roman"/>
          <w:b w:val="false"/>
          <w:i w:val="false"/>
          <w:color w:val="000000"/>
          <w:sz w:val="28"/>
        </w:rPr>
        <w:t>
      3) арнайы комиссияның жұмыс органы өтінішті тіркейді, тұтынушының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w:t>
      </w:r>
      <w:r>
        <w:br/>
      </w:r>
      <w:r>
        <w:rPr>
          <w:rFonts w:ascii="Times New Roman"/>
          <w:b w:val="false"/>
          <w:i w:val="false"/>
          <w:color w:val="000000"/>
          <w:sz w:val="28"/>
        </w:rPr>
        <w:t>
      4) орталық тұтынушыға хабарлама не бас тарту туралы дәлелді жауапты береді.</w:t>
      </w:r>
    </w:p>
    <w:bookmarkEnd w:id="8"/>
    <w:bookmarkStart w:name="z21" w:id="9"/>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сәйкес құжаттардың қабылданғаны туралы:</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бекітетін құжат;</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5) әлеуметтiк жеке код берiлгенi туралы уақытша куәлiк (жеке сәйкестендіру нөмірі бар болған жағдайда);</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арнайы комиссияның жұмыс органының басшылығы (ҚФБ 1);</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комиссияның жұмыс органының маманы (ҚФБ 3);</w:t>
      </w:r>
      <w:r>
        <w:br/>
      </w:r>
      <w:r>
        <w:rPr>
          <w:rFonts w:ascii="Times New Roman"/>
          <w:b w:val="false"/>
          <w:i w:val="false"/>
          <w:color w:val="000000"/>
          <w:sz w:val="28"/>
        </w:rPr>
        <w:t>
      4) орталықтың құжат беру секторының инспекторы (ҚФБ 4);</w:t>
      </w:r>
      <w:r>
        <w:br/>
      </w:r>
      <w:r>
        <w:rPr>
          <w:rFonts w:ascii="Times New Roman"/>
          <w:b w:val="false"/>
          <w:i w:val="false"/>
          <w:color w:val="000000"/>
          <w:sz w:val="28"/>
        </w:rPr>
        <w:t>
      5) орталықтың жинақтау секторының маманы (ҚФБ 5);</w:t>
      </w:r>
      <w:r>
        <w:br/>
      </w:r>
      <w:r>
        <w:rPr>
          <w:rFonts w:ascii="Times New Roman"/>
          <w:b w:val="false"/>
          <w:i w:val="false"/>
          <w:color w:val="000000"/>
          <w:sz w:val="28"/>
        </w:rPr>
        <w:t>
      6) орталықтың операциялық залының инспекторы (ҚФБ 6);</w:t>
      </w:r>
      <w:r>
        <w:br/>
      </w:r>
      <w:r>
        <w:rPr>
          <w:rFonts w:ascii="Times New Roman"/>
          <w:b w:val="false"/>
          <w:i w:val="false"/>
          <w:color w:val="000000"/>
          <w:sz w:val="28"/>
        </w:rPr>
        <w:t>
      7) орталықтың кеңесшісі (ҚФБ 7).</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1-қосымша</w:t>
      </w:r>
    </w:p>
    <w:bookmarkEnd w:id="13"/>
    <w:bookmarkStart w:name="z30" w:id="14"/>
    <w:p>
      <w:pPr>
        <w:spacing w:after="0"/>
        <w:ind w:left="0"/>
        <w:jc w:val="both"/>
      </w:pPr>
      <w:r>
        <w:rPr>
          <w:rFonts w:ascii="Times New Roman"/>
          <w:b w:val="false"/>
          <w:i w:val="false"/>
          <w:color w:val="000000"/>
          <w:sz w:val="28"/>
        </w:rPr>
        <w:t>
      1-кесте. Құрылымдық-функционалдық бірліктерінің іс-әрекеттерінің сипаттамасы (ҚФБ)</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229"/>
        <w:gridCol w:w="3522"/>
        <w:gridCol w:w="6697"/>
      </w:tblGrid>
      <w:tr>
        <w:trPr>
          <w:trHeight w:val="8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Жұмыс органының басшылығы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Арнайы комиссияның жұмыс органының жауапты орындаушысы</w:t>
            </w:r>
          </w:p>
        </w:tc>
      </w:tr>
      <w:tr>
        <w:trPr>
          <w:trHeight w:val="144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315"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243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54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270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8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81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1" w:id="15"/>
    <w:p>
      <w:pPr>
        <w:spacing w:after="0"/>
        <w:ind w:left="0"/>
        <w:jc w:val="both"/>
      </w:pPr>
      <w:r>
        <w:rPr>
          <w:rFonts w:ascii="Times New Roman"/>
          <w:b w:val="false"/>
          <w:i w:val="false"/>
          <w:color w:val="000000"/>
          <w:sz w:val="28"/>
        </w:rPr>
        <w:t>
      Баламалы үдерістің іс-әрекеті (барысының, жұмыс ағынының)</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340"/>
        <w:gridCol w:w="3340"/>
        <w:gridCol w:w="3340"/>
        <w:gridCol w:w="3488"/>
      </w:tblGrid>
      <w:tr>
        <w:trPr>
          <w:trHeight w:val="10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Жұмыс органының басшылығы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Арнайы комиссияның жұмыс органының жауапты орындаушысы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Арнайы комиссияның жұмыс органының маманы</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r>
      <w:tr>
        <w:trPr>
          <w:trHeight w:val="127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5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түрі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340"/>
        <w:gridCol w:w="3340"/>
        <w:gridCol w:w="3340"/>
        <w:gridCol w:w="3508"/>
      </w:tblGrid>
      <w:tr>
        <w:trPr>
          <w:trHeight w:val="8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 xml:space="preserve">Орталықтың құжат беру секторының инспекторы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 xml:space="preserve">Орталықтың жинақтау секторының маманы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 xml:space="preserve">Орталықтың операциялық залының инспекторы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тұтынушыға қолхат береді</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6"/>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2-қосымша</w:t>
      </w:r>
    </w:p>
    <w:bookmarkEnd w:id="16"/>
    <w:bookmarkStart w:name="z33" w:id="17"/>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көрсетудің үдерісі. Баламалы үдеріс.</w:t>
      </w:r>
    </w:p>
    <w:bookmarkEnd w:id="17"/>
    <w:p>
      <w:pPr>
        <w:spacing w:after="0"/>
        <w:ind w:left="0"/>
        <w:jc w:val="both"/>
      </w:pPr>
      <w:r>
        <w:drawing>
          <wp:inline distT="0" distB="0" distL="0" distR="0">
            <wp:extent cx="76454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6718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