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891e" w14:textId="7da8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Қособа ауылдық округінің Шағат қыстағы аумағында 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Қособа ауылдық округі әкімінің 2013 жылғы 3 сәуірдегі № 8 шешімі. Батыс Қазақстан облысы Әділет департаментінде 2013 жылғы 30 сәуірде № 3277 болып тіркелді. Күші жойылды - Батыс Қазақстан облысы Сырым ауданы Қособа ауылдық округі әкімінің 2013 жылғы 31 мамырдағы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Қособа ауылдық округі әкімінің 31.05.2013 № 13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Ветеринариялық бақылау және қадағалау комитетінің Сырым аудандық аумақтық инспекциясының бас мемлекеттік ветеринариялық–санитарлық инспекторының 2013 жылғы 4 ақпандағы № 25 ұсынысы негізінде, жануарлардың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Қособа ауылдық округінің Шағат қыстағы аумағында құтыру ауруы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Сырым аудандық аумақтық инспекциясы" мемлекеттік мекемесіне (келісім бойынша),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Сырым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Қособа ауылдық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 К. Шарифуллин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Ж. Бисенғали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03.04.2013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Ғинаятұлы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03.04.2013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