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aef7" w14:textId="f58a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қаласындағы жолаушылар мен жүкті қалалық автомобиль көлігімен тұрақты тасымалдауға арналған бірыңғай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2015 жылғы 26 қарашадағы № 47/05 қаулысы. Қарағанды облысының Әділет департаментінде 2015 жылғы 2 желтоқсанда № 3526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"Автомобиль көлігі туралы" Қазақстан Республикасының 2003 жылғы 4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"Саран қаласында жолаушыларды және багажды тұрақты қалалық және қала сыртына автомобильмен тасымалдауға тарифті көтеруді сәйкестендіру туралы" Саран қалалық мәслихатының 2015 жылғы 13 қазандағы № 485 шешімі негізінде, Саран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Саран қаласындағы жолаушылар мен жүкті қалалық автомобиль көлігімен тұрақты тасымалдауға бірыңғай тариф 60 (алпыс)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Саран қаласы әкімінің орынбасары Мейрам Муратович Кожуховқа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Саран қаласының әкімі                      А. Шкарупа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 Бекбанов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қараша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