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fd1d2" w14:textId="26fd1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ауданы бойынша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мөлшерлемелерді белгілеу туралы</w:t>
      </w:r>
    </w:p>
    <w:p>
      <w:pPr>
        <w:spacing w:after="0"/>
        <w:ind w:left="0"/>
        <w:jc w:val="both"/>
      </w:pPr>
      <w:r>
        <w:rPr>
          <w:rFonts w:ascii="Times New Roman"/>
          <w:b w:val="false"/>
          <w:i w:val="false"/>
          <w:color w:val="000000"/>
          <w:sz w:val="28"/>
        </w:rPr>
        <w:t>Ақтөбе облысы Мұғалжар аудандық мәслихатының 2016 жылғы 12 сәуірдегі № 13 шешімі. Ақтөбе облысының Әділет департаментінде 2016 жылғы 11 мамырда № 4910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2015 жылғы 23 қарашадағы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Мұғалжар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Мұғалжар ауданы бойынша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аудандық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Қ.Аймағанбетов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Н.Қалиева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