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d5d0" w14:textId="7dfd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7 қыркүйектегі ХХХІІ сессиясының "Қазақстан Республикасының жер заңнамасына сәйкес пайдаланылмайтын ауыл шаруашылығы мақсатындағы жерлерге жер салығының ставкасын және бірыңғай жер салығының ставкасын жоғарылату туралы" № 32/28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6 жылғы 18 ақпандағы № 38/325 шешімі. Қарағанды облысының Әділет департаментінде 2016 жылғы 14 наурызда № 37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Аудандық мәслихаттың 2015 жылғы 17 қыркүйектегі ХХХІІ сессиясының "Қазақстан Республикасының жер заңнамасына сәйкес пайдаланылмайтын ауыл шаруашылығы мақсатындағы жерлерге жер салығының ставкасын және бірыңғай жер салығының ставкасын жоғарылату туралы" № 32/2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421 болып тіркелген, 2015 жылғы 7 қазандағы "Шет Шұғыласы" № 41 (10 557) газетінде, "Әділет" ақпараттық–құқықтық жүйесінде 2015 жылдың 23 қаз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н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жер заңнамасына сәйкес 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шқ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ғұ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