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d768" w14:textId="77ad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29 ақпандағы № 353 қаулысы. Қызылорда облысының Әділет департаментінде 2016 жылғы 14 наурызда № 5400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сатып алу туралы" 2015 жылғы 04 желтоқсандағы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Тапсырыс берушілер үшін "Қызылорда облысының мемлекеттік сатып алу басқармасы" мемлекеттік мекемесі мемлекеттік сатып алудың бірыңғай ұйымдастырушысы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мемлекеттік сатып алуды ұйымдастыруды және өткізуді бірыңғай ұйымдастырушы орындайтын тауарлар, жұмыстар, көрсетілетін қызметтер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"Қызылорда облысының мемлекеттік сатып алу басқармасы" мемлекеттік мекемесінің басшысы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Осы қаулының орындалуын бақылау Қызылорда облысы әкімінің орынбасары Қ.Д.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"29"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қаулысына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орындайтын тауарлар, жұмыстар, көрсетілетін қызметтер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0578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2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Тауарлар: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жиһаздарды сатып алу (оларды сатып алуға бөлінген қаржы тиісті қаржы жылына республикалық бюджет туралы заңымен белгіленген бес мыңнан он мыңға дейінгі еселенген айлық есептік көрсеткіште болған жағдайда)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Жұмыстар: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автомобиль жолының көпіріне күрделі жөндеу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қызметтер: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10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форум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