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de7a" w14:textId="cbed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2009 жылғы 24 сәуірдегі № 86 "Жер салығының базалық ставкасын жоғарылату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2017 жылғы 13 наурыздағы № 70 шешімі. Ақтөбе облысының Әділет департаментінде 2017 жылғы 10 сәуірде № 5419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деректемелерінде, атауында, мәтіні бойынша орыс тілінде "Хобдинского", "Хобдинский" сөздері "Кобдинского", "Кобдинский" сөздерімен ауыстырылды, қазақ тіліндегі мәтіні өзгермейді – Ақтөбе облысы Қобда аудандық мәслихатының 22.12.2017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2014 жылғы 28 қарашадағы "Қазақстан Республикасының кейбір заңнамалық актілеріне салық салу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2009 жылғы 24 сәуірдегі № 86 қазақ тіліндегі "Жер салығының базалық ставкасын жоғарылату туралы" (нормативтік құқықтық актілерді мемлекеттік тіркеу тізілімінде № 3-7-68 тіркелген, 2009 жылғы 28 мамырда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атауындағы және бүкіл мәтіні бойынша "ставкасын", "ставкаларын", "ставкалары" сөздері "мөлшерлемесін", "мөлшерлемелерін", "мөлшерлемері" сөздерімен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"378" сандары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