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cf8d" w14:textId="c7cc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стандарттарын бекіту туралы" Қазақстан Республикасының Инвестициялар және даму министрінің 2015 жылғы 30 сәуірдегі № 555 бұйрығымен бекітілген "Теміржол көлігі саласында жүктерді тасымалдауға лицензия беру" мемлекеттік көрсетілетін қызмет стандартына 3-қосымшасының 1-тармағы 6) тармақшасының қолданылуын тоқтату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наурыздағы № 210 бұйрығы. Қазақстан Республикасының Әділет министрлігінде 2018 жылғы 11 маусымдағы № 17031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46-бабы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2020 жылдың 1 қаңтарына дейін "Теміржол көлігі саласында мемлекеттік көрсетілетін қызметтер стандарттарын бекіту туралы" Қазақстан Республикасының Инвестициялар және даму министрінің 2015 жылғы 30 сәуірдегі № 555 бұйрығымен бекітілген "Теміржол көлігі саласында жүктерді тасымалдауға лицензия беру" мемлекеттік көрсетілетін қызмет стандартына (Нормативтік құқықтық актілердің мемлекеттік тіркеу тізілімінде № 11428 болып тіркелген, "Әділет" ақпараттық-құқықтық жүйесінде 2015 жылғы 21 шілдеде жарияланған) 3-қосымшаның 1-тармағы </w:t>
      </w:r>
      <w:r>
        <w:rPr>
          <w:rFonts w:ascii="Times New Roman"/>
          <w:b w:val="false"/>
          <w:i w:val="false"/>
          <w:color w:val="000000"/>
          <w:sz w:val="28"/>
        </w:rPr>
        <w:t>6) тармақшасының</w:t>
      </w:r>
      <w:r>
        <w:rPr>
          <w:rFonts w:ascii="Times New Roman"/>
          <w:b w:val="false"/>
          <w:i w:val="false"/>
          <w:color w:val="000000"/>
          <w:sz w:val="28"/>
        </w:rPr>
        <w:t xml:space="preserve"> қолданылуы тоқтатылсын.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2018 жылғы 22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