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3f1a" w14:textId="23d3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Саралжын ауылдық округі әкімінің 2019 жылғы 26 ақпандағы № 2 шешімі. Ақтөбе облысының Әділет департаментінде 2019 жылғы 28 ақпанда № 5973 болып тіркелді. Күші жойылды - Ақтөбе облысы Ойыл ауданы Саралжын ауылдық округі әкімінің 2020 жылғы 27 қаңтардағы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Саралжын ауылдық округі әкімінің 27.01.2020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енгiзiледi).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Ойыл аудандық аумақтық инспекциясының бас мемлекеттік ветеринариялық-санитариялық инспекторының 2019 жылдың 25 қаңтарындағы № 2-13/13 ұсынысы негізінде, Саралжын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арасында бруцеллез ауыруының анықталуына байланысты, Саралжын ауылдық округінің "Тассай" қыстағында орналасқан "Сәттібек" шаруа қожалығының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"Саралжын ауылдық округі әкімі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Ойыл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Саралжын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