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0f9e" w14:textId="27a0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2018 жылғы 3 сәуірдегі № 89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 қаулының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2019 жылғы 28 қарашадағы № 403 қаулысы. Шығыс Қазақстан облысының Әділет департаментінде 2019 жылғы 4 желтоқсанда № 6349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25 шілдедегі № 550 </w:t>
      </w:r>
      <w:r>
        <w:rPr>
          <w:rFonts w:ascii="Times New Roman"/>
          <w:b w:val="false"/>
          <w:i w:val="false"/>
          <w:color w:val="000000"/>
          <w:sz w:val="28"/>
        </w:rPr>
        <w:t>бұйрығы</w:t>
      </w:r>
      <w:r>
        <w:rPr>
          <w:rFonts w:ascii="Times New Roman"/>
          <w:b w:val="false"/>
          <w:i w:val="false"/>
          <w:color w:val="000000"/>
          <w:sz w:val="28"/>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2017 жылғы 12 желтоқсандағы № 859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актілері мемлекеттік тіркеу тізіміндегі № 133678 болып тіркелген) бұйрығына сәйкес Шығыс Қазақстан облысының әкімдігі ҚАУЛЫ ЕТЕДІ:</w:t>
      </w:r>
    </w:p>
    <w:bookmarkStart w:name="z3" w:id="0"/>
    <w:p>
      <w:pPr>
        <w:spacing w:after="0"/>
        <w:ind w:left="0"/>
        <w:jc w:val="both"/>
      </w:pPr>
      <w:r>
        <w:rPr>
          <w:rFonts w:ascii="Times New Roman"/>
          <w:b w:val="false"/>
          <w:i w:val="false"/>
          <w:color w:val="000000"/>
          <w:sz w:val="28"/>
        </w:rPr>
        <w:t xml:space="preserve">
      1. Шығыс Қазақстан облысы әкімдігінің 2018 жылғы 3 сәуірдегі № 89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 мемлекеттік тіркеу тізілімінде № 5618 болып тіркелген, "Дидар" газетінде 2018 жылғы 17 мамырдағы № 58, "Рудный Алтай" газетінде 2018 жылғы 17 мамырдағы № 58, "Әділет" ақпараттық құқықтық жүйесінде 2018 жылғы 25 сәуірде жарияланған) күші жойылды деп танылсын.</w:t>
      </w:r>
    </w:p>
    <w:bookmarkEnd w:id="0"/>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тіркелгеннен кейін күнтізбелік он күн ішінде оның көшірмесінің облыс аумағында таралатын мерзімді басылымдарында ресми жариялауға жіберілуін қамтамасыз етсін;</w:t>
      </w:r>
    </w:p>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