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88da" w14:textId="ab788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техногендік сипаттағы төтенше жағдай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Абай ауданы әкімінің 2020 жылғы 1 қыркүйектегі № 3 шешімі. Шымкент қаласының Әділет департаментінде 2020 жылғы 1 қыркүйекте № 121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2014 жылғы 11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48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"Табиғи және техногендік сипаттағы төтенше жағдайлардың сыныптамасын белгілеу туралы" Қазақстан Республикасы Үкіметінің 2014 жылғы 2 шілдедегі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Шымкент қаласының төтенше жағдайлардың алдын алу және оларды жою жөніндегі коммисия отырысының 2019 жылғы 29 тамыздағы № 9 хаттамасына сәйкес, Шымкент қаласы Абай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Шымкент қаласы Абай ауданында жергілікті ауқымдағы техногендік сипаттағы төтенше жағдай жариялансын.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ауданы әкімінің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мемлекеттік тіркелген күннен бастап күнтізбелік он күн ішінде оның көшірмесі Шымкент қаласында таратылатын баспа басылымдарына ресми жариялауға жіберілуді;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оны ресми жариялағаннан кейін Шымкент қаласы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Абай ауданы әкімінің орынбасары Н.Тілешке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 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Парманов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