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0c3f" w14:textId="3fc0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құралдар тізбесін бекіту туралы" Қазақстан Республикасы Ұлттық экономика министрінің 2018 жылғы 28 желтоқсандағы № 107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16 қарашадағы № 80 бұйрығы. Қазақстан Республикасының Әділет министрлігінде 2022 жылғы 22 қарашада № 30668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"Ақпараттық құралдар тізбесін бекіту туралы" Қазақстан Республикасы Ұлттық экономика министрінің 2018 жылғы 28 желтоқсандағы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18117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ақпараттық құралдардың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реттік нөмірі 367-жол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сенімділігі көрсеткіштерінің сақталуы және қызмет тиімділігінің көрсеткіштеріне қол жеткізу туралы есептерді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оның ішінде өзінің интернет-ресурсында не уәкілетті органның интернет-ресурсында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өткізілген күннен бастап күнтізбелік бес күннен кешіктірмей жарты жылда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4"/>
    <w:p>
      <w:pPr>
        <w:spacing w:after="0"/>
        <w:ind w:left="0"/>
        <w:jc w:val="both"/>
      </w:pPr>
      <w:r>
        <w:rPr>
          <w:rFonts w:ascii="Times New Roman"/>
          <w:b w:val="false"/>
          <w:i w:val="false"/>
          <w:color w:val="000000"/>
          <w:sz w:val="28"/>
        </w:rPr>
        <w:t>
      реттік нөмірлері 369 және 370-жолдар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мен өзге де мүдделі тұлғалар алдында табиғи монополиялар салаларында коммуналдық қызметтер көрсету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өзінің интернет-ресурсында не уәкілетті органның интернет-ресурсында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өткізген сәттен бастап бес күнтізбелік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мен өзге де мүдделі тұлғалар алдында табиғи монополиялар салаларында коммуналдық қызметтер көрсету жөніндегі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өзінің интернет-ресурсында не уәкілетті органның интернет-ресурсында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өткізген сәттен бастап бес күнтізбелік күннен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5"/>
    <w:p>
      <w:pPr>
        <w:spacing w:after="0"/>
        <w:ind w:left="0"/>
        <w:jc w:val="both"/>
      </w:pPr>
      <w:r>
        <w:rPr>
          <w:rFonts w:ascii="Times New Roman"/>
          <w:b w:val="false"/>
          <w:i w:val="false"/>
          <w:color w:val="000000"/>
          <w:sz w:val="28"/>
        </w:rPr>
        <w:t>
      реттік нөмірі 392-жол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жұмыс берушінің міндетті зейнетақы жарналары бойынша берешек өндіріп алынатын бірыңғай жинақтаушы зейнетақы қорының міндетті зейнетақы жарналарының, жұмыс берушінің міндетті зейнетақы жарналарының салымшылары туралы ақпарат, сондай-ақ пайдасына міндетті кәсіптік зейнетақы жарналары бойынша берешек өндіріп алынатын қызметкерлердің тізімдері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кіріс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6"/>
    <w:p>
      <w:pPr>
        <w:spacing w:after="0"/>
        <w:ind w:left="0"/>
        <w:jc w:val="both"/>
      </w:pPr>
      <w:r>
        <w:rPr>
          <w:rFonts w:ascii="Times New Roman"/>
          <w:b w:val="false"/>
          <w:i w:val="false"/>
          <w:color w:val="000000"/>
          <w:sz w:val="28"/>
        </w:rPr>
        <w:t>
      реттік нөмірлері 12, 13, 14, 15, 16, 17, 26, 27, 28, 30, 31, 39, 49, 206, 211, 225, 226, 244, 257, 271, 278, 279, 280, 281, 282, 283, 284, 285, 286, 288, 289, 291, 302, 303, 306, 307, 308, 323, 324, 325, 326, 327, 333, 334, 350, 368, 399, 403, 404, 405, 406 және 408 жолдар алынып тасталсын;</w:t>
      </w:r>
    </w:p>
    <w:bookmarkEnd w:id="6"/>
    <w:bookmarkStart w:name="z7" w:id="7"/>
    <w:p>
      <w:pPr>
        <w:spacing w:after="0"/>
        <w:ind w:left="0"/>
        <w:jc w:val="both"/>
      </w:pPr>
      <w:r>
        <w:rPr>
          <w:rFonts w:ascii="Times New Roman"/>
          <w:b w:val="false"/>
          <w:i w:val="false"/>
          <w:color w:val="000000"/>
          <w:sz w:val="28"/>
        </w:rPr>
        <w:t>
      аббревиатуралардың толық жазылуы мынадай редакцияда жазылсын:</w:t>
      </w:r>
    </w:p>
    <w:bookmarkEnd w:id="7"/>
    <w:bookmarkStart w:name="z8" w:id="8"/>
    <w:p>
      <w:pPr>
        <w:spacing w:after="0"/>
        <w:ind w:left="0"/>
        <w:jc w:val="both"/>
      </w:pPr>
      <w:r>
        <w:rPr>
          <w:rFonts w:ascii="Times New Roman"/>
          <w:b w:val="false"/>
          <w:i w:val="false"/>
          <w:color w:val="000000"/>
          <w:sz w:val="28"/>
        </w:rPr>
        <w:t>
      "Аббревиатуралардың толық жазылуы:</w:t>
      </w:r>
    </w:p>
    <w:bookmarkEnd w:id="8"/>
    <w:bookmarkStart w:name="z9" w:id="9"/>
    <w:p>
      <w:pPr>
        <w:spacing w:after="0"/>
        <w:ind w:left="0"/>
        <w:jc w:val="both"/>
      </w:pPr>
      <w:r>
        <w:rPr>
          <w:rFonts w:ascii="Times New Roman"/>
          <w:b w:val="false"/>
          <w:i w:val="false"/>
          <w:color w:val="000000"/>
          <w:sz w:val="28"/>
        </w:rPr>
        <w:t>
      ВГВ – В вирусты гепатиті</w:t>
      </w:r>
    </w:p>
    <w:bookmarkEnd w:id="9"/>
    <w:bookmarkStart w:name="z10" w:id="10"/>
    <w:p>
      <w:pPr>
        <w:spacing w:after="0"/>
        <w:ind w:left="0"/>
        <w:jc w:val="both"/>
      </w:pPr>
      <w:r>
        <w:rPr>
          <w:rFonts w:ascii="Times New Roman"/>
          <w:b w:val="false"/>
          <w:i w:val="false"/>
          <w:color w:val="000000"/>
          <w:sz w:val="28"/>
        </w:rPr>
        <w:t>
      ЖРВИ – Жіті респираторлық вирустық инфекциялар</w:t>
      </w:r>
    </w:p>
    <w:bookmarkEnd w:id="10"/>
    <w:bookmarkStart w:name="z11" w:id="11"/>
    <w:p>
      <w:pPr>
        <w:spacing w:after="0"/>
        <w:ind w:left="0"/>
        <w:jc w:val="both"/>
      </w:pPr>
      <w:r>
        <w:rPr>
          <w:rFonts w:ascii="Times New Roman"/>
          <w:b w:val="false"/>
          <w:i w:val="false"/>
          <w:color w:val="000000"/>
          <w:sz w:val="28"/>
        </w:rPr>
        <w:t>
      ЖШС – Жауапкершілігі шектеулі серіктестік</w:t>
      </w:r>
    </w:p>
    <w:bookmarkEnd w:id="11"/>
    <w:bookmarkStart w:name="z12" w:id="12"/>
    <w:p>
      <w:pPr>
        <w:spacing w:after="0"/>
        <w:ind w:left="0"/>
        <w:jc w:val="both"/>
      </w:pPr>
      <w:r>
        <w:rPr>
          <w:rFonts w:ascii="Times New Roman"/>
          <w:b w:val="false"/>
          <w:i w:val="false"/>
          <w:color w:val="000000"/>
          <w:sz w:val="28"/>
        </w:rPr>
        <w:t>
      СГВ – С вирусты гепатиті</w:t>
      </w:r>
    </w:p>
    <w:bookmarkEnd w:id="12"/>
    <w:bookmarkStart w:name="z13" w:id="13"/>
    <w:p>
      <w:pPr>
        <w:spacing w:after="0"/>
        <w:ind w:left="0"/>
        <w:jc w:val="both"/>
      </w:pPr>
      <w:r>
        <w:rPr>
          <w:rFonts w:ascii="Times New Roman"/>
          <w:b w:val="false"/>
          <w:i w:val="false"/>
          <w:color w:val="000000"/>
          <w:sz w:val="28"/>
        </w:rPr>
        <w:t>
      СЭХ – Санитарлық-эпидемиологиялық сипаттамалар</w:t>
      </w:r>
    </w:p>
    <w:bookmarkEnd w:id="13"/>
    <w:bookmarkStart w:name="z14" w:id="14"/>
    <w:p>
      <w:pPr>
        <w:spacing w:after="0"/>
        <w:ind w:left="0"/>
        <w:jc w:val="both"/>
      </w:pPr>
      <w:r>
        <w:rPr>
          <w:rFonts w:ascii="Times New Roman"/>
          <w:b w:val="false"/>
          <w:i w:val="false"/>
          <w:color w:val="000000"/>
          <w:sz w:val="28"/>
        </w:rPr>
        <w:t>
      ТТА – Тұмау тектес аурулар".</w:t>
      </w:r>
    </w:p>
    <w:bookmarkEnd w:id="14"/>
    <w:bookmarkStart w:name="z15" w:id="15"/>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w:t>
      </w:r>
    </w:p>
    <w:bookmarkEnd w:id="15"/>
    <w:bookmarkStart w:name="z16"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17" w:id="1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7"/>
    <w:bookmarkStart w:name="z18" w:id="1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8"/>
    <w:bookmarkStart w:name="z19"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p>
    <w:bookmarkEnd w:id="19"/>
    <w:bookmarkStart w:name="z20" w:id="20"/>
    <w:p>
      <w:pPr>
        <w:spacing w:after="0"/>
        <w:ind w:left="0"/>
        <w:jc w:val="both"/>
      </w:pPr>
      <w:r>
        <w:rPr>
          <w:rFonts w:ascii="Times New Roman"/>
          <w:b w:val="false"/>
          <w:i w:val="false"/>
          <w:color w:val="000000"/>
          <w:sz w:val="28"/>
        </w:rPr>
        <w:t>
      4. Осы бұйрық, 2023 жылғы 1 қаңтардан бастап қолданысқа енгізілетін бұйрықтың 1-тармағының бесінші абзацын қоспағанда, алғаш ресми жарияланғаннан кейін күнтізбелік алпыс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Ауыл шаруашылығы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