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f87b2" w14:textId="bef87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"Лотерея операторына қатысты Қазақстан Республикасының лотереялар және лотерея қызметі туралы заңнамасын сақтаудың мемлекеттік бақылау саласындағы тексеру парағын бекіту туралы" Қазақстан Республикасы Мәдениет және спорт министрінің 2016 жылғы 29 маусымдағы № 195 және Қазақстан Республикасы Ұлттық экономика министрінің 2016 жылғы 18 шілдедегі № 323 бірлескен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м.а. 2022 жылғы 22 желтоқсандағы № 380 және Қазақстан Республикасы Ұлттық экономика министрінің 2022 жылғы 22 желтоқсандағы № 136 бірлескен бұйрығы. Қазақстан Республикасының Әділет министрлігінде 2022 жылғы 23 желтоқсанда № 31230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бірлескен бұйрық 01.01.2023 бастап қолданысқа енгізіледі</w:t>
      </w:r>
    </w:p>
    <w:bookmarkStart w:name="z1" w:id="0"/>
    <w:p>
      <w:pPr>
        <w:spacing w:after="0"/>
        <w:ind w:left="0"/>
        <w:jc w:val="both"/>
      </w:pPr>
      <w:r>
        <w:rPr>
          <w:rFonts w:ascii="Times New Roman"/>
          <w:b w:val="false"/>
          <w:i w:val="false"/>
          <w:color w:val="000000"/>
          <w:sz w:val="28"/>
        </w:rPr>
        <w:t>
      БҰЙЫРАМЫЗ:</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"Лотерея операторына қатысты Қазақстан Республикасының лотереялар және лотерея қызметі туралы заңнамасын сақтаудың мемлекеттік бақылау саласындағы тексеру парағын бекіту туралы" Қазақстан Республикасы Мәдениет және спорт министрінің 2016 жылғы 29 маусымдағы № 195 және Қазақстан Республикасы Ұлттық экономика министрінің 2016 жылғы 18 шілдедегі № 323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14142 болып тіркелген) мынадай өзгерістер мен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1"/>
    <w:p>
      <w:pPr>
        <w:spacing w:after="0"/>
        <w:ind w:left="0"/>
        <w:jc w:val="both"/>
      </w:pPr>
      <w:r>
        <w:rPr>
          <w:rFonts w:ascii="Times New Roman"/>
          <w:b w:val="false"/>
          <w:i w:val="false"/>
          <w:color w:val="000000"/>
          <w:sz w:val="28"/>
        </w:rPr>
        <w:t>
      "Лотерея операторына қатысты Қазақстан Республикасының лотерея және лотерея қызметі туралы заңнаманы сақтаудағы тәуекел дәрежесін бағалау өлшемшарттарын және тексеру парағын бекіту туралы";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Кәсіпкерлік кодексінің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БҰЙЫРАМЫЗ:</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 w:id="2"/>
    <w:p>
      <w:pPr>
        <w:spacing w:after="0"/>
        <w:ind w:left="0"/>
        <w:jc w:val="both"/>
      </w:pPr>
      <w:r>
        <w:rPr>
          <w:rFonts w:ascii="Times New Roman"/>
          <w:b w:val="false"/>
          <w:i w:val="false"/>
          <w:color w:val="000000"/>
          <w:sz w:val="28"/>
        </w:rPr>
        <w:t>
      "1. Мыналар:</w:t>
      </w:r>
    </w:p>
    <w:bookmarkEnd w:id="2"/>
    <w:p>
      <w:pPr>
        <w:spacing w:after="0"/>
        <w:ind w:left="0"/>
        <w:jc w:val="both"/>
      </w:pPr>
      <w:r>
        <w:rPr>
          <w:rFonts w:ascii="Times New Roman"/>
          <w:b w:val="false"/>
          <w:i w:val="false"/>
          <w:color w:val="000000"/>
          <w:sz w:val="28"/>
        </w:rPr>
        <w:t>
      1) осы бірлескен бұйрыққа 1-1-қосымшаға сәйкес лотерея операторына қатысты Қазақстан Республикасының лотереялар және лотерея қызметі туралы заңнамасының сақталуына тәуекел дәрежесін бағалаудың өлшемшарттары;</w:t>
      </w:r>
    </w:p>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лотерея операторына қатысты Қазақстан Республикасының лотерея және лотерея қызметі туралы заңнамасын сақтаудың тексеру парағы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көрсетілген бірлескен бұйрыққа 1-1-қосымшамен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Start w:name="z11" w:id="3"/>
    <w:p>
      <w:pPr>
        <w:spacing w:after="0"/>
        <w:ind w:left="0"/>
        <w:jc w:val="both"/>
      </w:pPr>
      <w:r>
        <w:rPr>
          <w:rFonts w:ascii="Times New Roman"/>
          <w:b w:val="false"/>
          <w:i w:val="false"/>
          <w:color w:val="000000"/>
          <w:sz w:val="28"/>
        </w:rPr>
        <w:t>
      2. Қазақстан Республикасы Мәдениет және спорт министрлігінің Туризм индустриясы комитеті заңнамамен белгіленген тәртіппен:</w:t>
      </w:r>
    </w:p>
    <w:bookmarkEnd w:id="3"/>
    <w:bookmarkStart w:name="z12" w:id="4"/>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bookmarkEnd w:id="4"/>
    <w:bookmarkStart w:name="z13" w:id="5"/>
    <w:p>
      <w:pPr>
        <w:spacing w:after="0"/>
        <w:ind w:left="0"/>
        <w:jc w:val="both"/>
      </w:pPr>
      <w:r>
        <w:rPr>
          <w:rFonts w:ascii="Times New Roman"/>
          <w:b w:val="false"/>
          <w:i w:val="false"/>
          <w:color w:val="000000"/>
          <w:sz w:val="28"/>
        </w:rPr>
        <w:t>
      2) осы бірлескен бұйрық қолданысқа енгізілгеннен кейін үш жұмыс күні ішінде оны Қазақстан Республикасы Мәдениет және спорт министрлігінің интернет-ресурсында орналастыруды;</w:t>
      </w:r>
    </w:p>
    <w:bookmarkEnd w:id="5"/>
    <w:bookmarkStart w:name="z14" w:id="6"/>
    <w:p>
      <w:pPr>
        <w:spacing w:after="0"/>
        <w:ind w:left="0"/>
        <w:jc w:val="both"/>
      </w:pPr>
      <w:r>
        <w:rPr>
          <w:rFonts w:ascii="Times New Roman"/>
          <w:b w:val="false"/>
          <w:i w:val="false"/>
          <w:color w:val="000000"/>
          <w:sz w:val="28"/>
        </w:rPr>
        <w:t>
      3) осы тармақта көзделген іс-шаралар орындалғаннан кейін үш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w:t>
      </w:r>
    </w:p>
    <w:bookmarkEnd w:id="6"/>
    <w:bookmarkStart w:name="z15" w:id="7"/>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 Мәдениет және спорт вице-министріне жүктелсін.</w:t>
      </w:r>
    </w:p>
    <w:bookmarkEnd w:id="7"/>
    <w:bookmarkStart w:name="z16" w:id="8"/>
    <w:p>
      <w:pPr>
        <w:spacing w:after="0"/>
        <w:ind w:left="0"/>
        <w:jc w:val="both"/>
      </w:pPr>
      <w:r>
        <w:rPr>
          <w:rFonts w:ascii="Times New Roman"/>
          <w:b w:val="false"/>
          <w:i w:val="false"/>
          <w:color w:val="000000"/>
          <w:sz w:val="28"/>
        </w:rPr>
        <w:t>
      4. Осы бірлескен бұйрық 2023 жылғы 1 қаңтардан бастап қолданысқа енгізіледі және ресми түрде жариялануға тиіс.</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Мәдениет және спорт </w:t>
            </w:r>
          </w:p>
          <w:p>
            <w:pPr>
              <w:spacing w:after="20"/>
              <w:ind w:left="20"/>
              <w:jc w:val="both"/>
            </w:pPr>
            <w:r>
              <w:rPr>
                <w:rFonts w:ascii="Times New Roman"/>
                <w:b w:val="false"/>
                <w:i/>
                <w:color w:val="000000"/>
                <w:sz w:val="20"/>
              </w:rPr>
              <w:t>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Жарасбаев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w:t>
      </w:r>
    </w:p>
    <w:p>
      <w:pPr>
        <w:spacing w:after="0"/>
        <w:ind w:left="0"/>
        <w:jc w:val="both"/>
      </w:pPr>
      <w:r>
        <w:rPr>
          <w:rFonts w:ascii="Times New Roman"/>
          <w:b w:val="false"/>
          <w:i w:val="false"/>
          <w:color w:val="000000"/>
          <w:sz w:val="28"/>
        </w:rPr>
        <w:t>
      арнайы есепке алу жөніндегі</w:t>
      </w:r>
    </w:p>
    <w:p>
      <w:pPr>
        <w:spacing w:after="0"/>
        <w:ind w:left="0"/>
        <w:jc w:val="both"/>
      </w:pPr>
      <w:r>
        <w:rPr>
          <w:rFonts w:ascii="Times New Roman"/>
          <w:b w:val="false"/>
          <w:i w:val="false"/>
          <w:color w:val="000000"/>
          <w:sz w:val="28"/>
        </w:rPr>
        <w:t>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22 желтоқсандағы</w:t>
            </w:r>
            <w:r>
              <w:br/>
            </w:r>
            <w:r>
              <w:rPr>
                <w:rFonts w:ascii="Times New Roman"/>
                <w:b w:val="false"/>
                <w:i w:val="false"/>
                <w:color w:val="000000"/>
                <w:sz w:val="20"/>
              </w:rPr>
              <w:t xml:space="preserve">№ 136 мен </w:t>
            </w:r>
            <w:r>
              <w:br/>
            </w: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2022 жылғы 22 желтоқсандағы</w:t>
            </w:r>
            <w:r>
              <w:br/>
            </w:r>
            <w:r>
              <w:rPr>
                <w:rFonts w:ascii="Times New Roman"/>
                <w:b w:val="false"/>
                <w:i w:val="false"/>
                <w:color w:val="000000"/>
                <w:sz w:val="20"/>
              </w:rPr>
              <w:t>№ 380 бірлескен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Мәдениет және спорт </w:t>
            </w:r>
            <w:r>
              <w:br/>
            </w:r>
            <w:r>
              <w:rPr>
                <w:rFonts w:ascii="Times New Roman"/>
                <w:b w:val="false"/>
                <w:i w:val="false"/>
                <w:color w:val="000000"/>
                <w:sz w:val="20"/>
              </w:rPr>
              <w:t xml:space="preserve">министрінің </w:t>
            </w:r>
            <w:r>
              <w:br/>
            </w:r>
            <w:r>
              <w:rPr>
                <w:rFonts w:ascii="Times New Roman"/>
                <w:b w:val="false"/>
                <w:i w:val="false"/>
                <w:color w:val="000000"/>
                <w:sz w:val="20"/>
              </w:rPr>
              <w:t xml:space="preserve">2016 жылғы 29 маусымдағы </w:t>
            </w:r>
            <w:r>
              <w:br/>
            </w:r>
            <w:r>
              <w:rPr>
                <w:rFonts w:ascii="Times New Roman"/>
                <w:b w:val="false"/>
                <w:i w:val="false"/>
                <w:color w:val="000000"/>
                <w:sz w:val="20"/>
              </w:rPr>
              <w:t xml:space="preserve">№ 195 және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экономика министрінің </w:t>
            </w:r>
            <w:r>
              <w:br/>
            </w:r>
            <w:r>
              <w:rPr>
                <w:rFonts w:ascii="Times New Roman"/>
                <w:b w:val="false"/>
                <w:i w:val="false"/>
                <w:color w:val="000000"/>
                <w:sz w:val="20"/>
              </w:rPr>
              <w:t xml:space="preserve">2016 жылғы 18 шілдедегі </w:t>
            </w:r>
            <w:r>
              <w:br/>
            </w:r>
            <w:r>
              <w:rPr>
                <w:rFonts w:ascii="Times New Roman"/>
                <w:b w:val="false"/>
                <w:i w:val="false"/>
                <w:color w:val="000000"/>
                <w:sz w:val="20"/>
              </w:rPr>
              <w:t xml:space="preserve">№ 323 бірлескен бұйрығына </w:t>
            </w:r>
            <w:r>
              <w:br/>
            </w:r>
            <w:r>
              <w:rPr>
                <w:rFonts w:ascii="Times New Roman"/>
                <w:b w:val="false"/>
                <w:i w:val="false"/>
                <w:color w:val="000000"/>
                <w:sz w:val="20"/>
              </w:rPr>
              <w:t>1-1-қосымша</w:t>
            </w:r>
          </w:p>
        </w:tc>
      </w:tr>
    </w:tbl>
    <w:bookmarkStart w:name="z19" w:id="9"/>
    <w:p>
      <w:pPr>
        <w:spacing w:after="0"/>
        <w:ind w:left="0"/>
        <w:jc w:val="left"/>
      </w:pPr>
      <w:r>
        <w:rPr>
          <w:rFonts w:ascii="Times New Roman"/>
          <w:b/>
          <w:i w:val="false"/>
          <w:color w:val="000000"/>
        </w:rPr>
        <w:t xml:space="preserve"> Лотерея және лотерея қызметінің операторына арналған Қазақстан Республикасының лотерея және лотерея қызметі туралы заңнаманы сақтаудағы тәуекел дәрежесін бағалаудың өлшемшарттары</w:t>
      </w:r>
    </w:p>
    <w:bookmarkEnd w:id="9"/>
    <w:bookmarkStart w:name="z20" w:id="10"/>
    <w:p>
      <w:pPr>
        <w:spacing w:after="0"/>
        <w:ind w:left="0"/>
        <w:jc w:val="left"/>
      </w:pPr>
      <w:r>
        <w:rPr>
          <w:rFonts w:ascii="Times New Roman"/>
          <w:b/>
          <w:i w:val="false"/>
          <w:color w:val="000000"/>
        </w:rPr>
        <w:t xml:space="preserve"> 1-тарау. Жалпы ережелер</w:t>
      </w:r>
    </w:p>
    <w:bookmarkEnd w:id="10"/>
    <w:p>
      <w:pPr>
        <w:spacing w:after="0"/>
        <w:ind w:left="0"/>
        <w:jc w:val="left"/>
      </w:pPr>
    </w:p>
    <w:p>
      <w:pPr>
        <w:spacing w:after="0"/>
        <w:ind w:left="0"/>
        <w:jc w:val="both"/>
      </w:pPr>
      <w:r>
        <w:rPr>
          <w:rFonts w:ascii="Times New Roman"/>
          <w:b w:val="false"/>
          <w:i w:val="false"/>
          <w:color w:val="000000"/>
          <w:sz w:val="28"/>
        </w:rPr>
        <w:t xml:space="preserve">
      1. Осы Қазақстан Республикасының лотереялар және лотерея қызметі туралы заңнамасының сақталуына тәуекел дәрежесін бағалау </w:t>
      </w:r>
      <w:r>
        <w:rPr>
          <w:rFonts w:ascii="Times New Roman"/>
          <w:b w:val="false"/>
          <w:i w:val="false"/>
          <w:color w:val="000000"/>
          <w:sz w:val="28"/>
        </w:rPr>
        <w:t>өлшемшарттары</w:t>
      </w:r>
      <w:r>
        <w:rPr>
          <w:rFonts w:ascii="Times New Roman"/>
          <w:b w:val="false"/>
          <w:i w:val="false"/>
          <w:color w:val="000000"/>
          <w:sz w:val="28"/>
        </w:rPr>
        <w:t xml:space="preserve"> (бұдан әрі – Өлшемшарттар) Қазақстан Республикасы Кәсіпкерлік кодексінің (бұдан әрі – Кодекс)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сондай-ақ "Тексеру парағының нысанын бекіту туралы" Қазақстан Республикасы Ұлттық экономика министрінің міндетін атқарушының 2018 жылғы 31 шілдедегі № 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17371 болып тіркелген), "Реттеуші мемлекеттік органдардың тәуекелдерді бағалау және басқару жүйесін қалыптастыру қағидаларын бекіту және "Мемлекеттік органдардың тәуекелдерді бағалау жүйесін қалыптастыру қағидаларын және тексеру парақтарының нысанын бекіту туралы" Қазақстан Республикасы Ұлттық экономика министрінің міндетін атқарушының 2018 жылғы 31 шілдедегі № 3 бұйрығына өзгерістер енгізу туралы" Қазақстан Республикасы Ұлттық экономика министрінің міндетін атқарушының 2022 жылғы 22 маусымдағы № 48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28577 болып тіркелген) сәйкес әзірленді және лотерея және лотерея қызметі саласындағы бақылау субъектілерін іріктеу үшін және оларды бақылау субъектісіне бару арқылы профилактикалық бақылау жүргізу кезінде тәуекелдер дәрежесіне жатқызуға арналған.</w:t>
      </w:r>
    </w:p>
    <w:bookmarkStart w:name="z22" w:id="11"/>
    <w:p>
      <w:pPr>
        <w:spacing w:after="0"/>
        <w:ind w:left="0"/>
        <w:jc w:val="both"/>
      </w:pPr>
      <w:r>
        <w:rPr>
          <w:rFonts w:ascii="Times New Roman"/>
          <w:b w:val="false"/>
          <w:i w:val="false"/>
          <w:color w:val="000000"/>
          <w:sz w:val="28"/>
        </w:rPr>
        <w:t>
      2. Осы өлшемшарттарда мынадай ұғымдар пайдаланылады:</w:t>
      </w:r>
    </w:p>
    <w:bookmarkEnd w:id="11"/>
    <w:bookmarkStart w:name="z23" w:id="12"/>
    <w:p>
      <w:pPr>
        <w:spacing w:after="0"/>
        <w:ind w:left="0"/>
        <w:jc w:val="both"/>
      </w:pPr>
      <w:r>
        <w:rPr>
          <w:rFonts w:ascii="Times New Roman"/>
          <w:b w:val="false"/>
          <w:i w:val="false"/>
          <w:color w:val="000000"/>
          <w:sz w:val="28"/>
        </w:rPr>
        <w:t>
      1) бақылау субъектісі – қызметі бақыланатын лотереяларды өткізу жөніндегі қызметті жүзеге асыратын, Қазақстан Республикасының Үкіметі айқындайтын заңды тұлға;</w:t>
      </w:r>
    </w:p>
    <w:bookmarkEnd w:id="12"/>
    <w:bookmarkStart w:name="z24" w:id="13"/>
    <w:p>
      <w:pPr>
        <w:spacing w:after="0"/>
        <w:ind w:left="0"/>
        <w:jc w:val="both"/>
      </w:pPr>
      <w:r>
        <w:rPr>
          <w:rFonts w:ascii="Times New Roman"/>
          <w:b w:val="false"/>
          <w:i w:val="false"/>
          <w:color w:val="000000"/>
          <w:sz w:val="28"/>
        </w:rPr>
        <w:t>
      2) болмашы бұзушылықтар – Қазақстан Республикасының лотереялар және лотерея қызметі туралы заңнамасының талаптарын бұзушылықтар, оларды сақтамау жеке және заңды тұлғалардың, мемлекеттің заңды мүдделеріне қатер төндірмейді;</w:t>
      </w:r>
    </w:p>
    <w:bookmarkEnd w:id="13"/>
    <w:bookmarkStart w:name="z25" w:id="14"/>
    <w:p>
      <w:pPr>
        <w:spacing w:after="0"/>
        <w:ind w:left="0"/>
        <w:jc w:val="both"/>
      </w:pPr>
      <w:r>
        <w:rPr>
          <w:rFonts w:ascii="Times New Roman"/>
          <w:b w:val="false"/>
          <w:i w:val="false"/>
          <w:color w:val="000000"/>
          <w:sz w:val="28"/>
        </w:rPr>
        <w:t>
      3) елеулі бұзушылықтар – Қазақстан Республикасының лотереялар және лотерея қызметі туралы заңнамасының талаптарын бұзу, оларды сақтамау жеке және заңды тұлғалардың, мемлекеттің заңды мүдделеріне елеулі қатер төндірмейді;</w:t>
      </w:r>
    </w:p>
    <w:bookmarkEnd w:id="14"/>
    <w:bookmarkStart w:name="z26" w:id="15"/>
    <w:p>
      <w:pPr>
        <w:spacing w:after="0"/>
        <w:ind w:left="0"/>
        <w:jc w:val="both"/>
      </w:pPr>
      <w:r>
        <w:rPr>
          <w:rFonts w:ascii="Times New Roman"/>
          <w:b w:val="false"/>
          <w:i w:val="false"/>
          <w:color w:val="000000"/>
          <w:sz w:val="28"/>
        </w:rPr>
        <w:t>
      4) өрескел бұзушылықтар –жеке және заңды тұлғалардың, мемлекеттің құқықтарының, заңды мүдделерінің елеулі бұзылуына әкеп соғуы мүмкін Қазақстан Республикасының лотереялар және лотерея қызметі туралы заңнамасының талаптарын бұзу.</w:t>
      </w:r>
    </w:p>
    <w:bookmarkEnd w:id="15"/>
    <w:bookmarkStart w:name="z27" w:id="16"/>
    <w:p>
      <w:pPr>
        <w:spacing w:after="0"/>
        <w:ind w:left="0"/>
        <w:jc w:val="both"/>
      </w:pPr>
      <w:r>
        <w:rPr>
          <w:rFonts w:ascii="Times New Roman"/>
          <w:b w:val="false"/>
          <w:i w:val="false"/>
          <w:color w:val="000000"/>
          <w:sz w:val="28"/>
        </w:rPr>
        <w:t>
      5) тәуекел – бақылау субъектісінің қызметі нәтижесінде жеке және заңды тұлғалардың заңды мүдделеріне, мемлекеттің мүліктік мүдделеріне салдарларының ауырлық дәрежесін ескере отырып зиян келтіру ықтималдығы;</w:t>
      </w:r>
    </w:p>
    <w:bookmarkEnd w:id="16"/>
    <w:bookmarkStart w:name="z28" w:id="17"/>
    <w:p>
      <w:pPr>
        <w:spacing w:after="0"/>
        <w:ind w:left="0"/>
        <w:jc w:val="both"/>
      </w:pPr>
      <w:r>
        <w:rPr>
          <w:rFonts w:ascii="Times New Roman"/>
          <w:b w:val="false"/>
          <w:i w:val="false"/>
          <w:color w:val="000000"/>
          <w:sz w:val="28"/>
        </w:rPr>
        <w:t>
      6) тәуекел дәрежесін бағалау өлшемшарттары – бақылау және қадағалау субъектісінің тікелей қызметімен, салалық даму ерекшеліктерімен және осы дамуға әсер ететін факторлармен байланысты, бақылау және қадағалау субъектілерін (объектілерін) тәуекелдің әртүрлі дәрежелеріне жатқызуға мүмкіндік беретін сандық және сапалық көрсеткіштердің жиынтығы;</w:t>
      </w:r>
    </w:p>
    <w:bookmarkEnd w:id="17"/>
    <w:bookmarkStart w:name="z29" w:id="18"/>
    <w:p>
      <w:pPr>
        <w:spacing w:after="0"/>
        <w:ind w:left="0"/>
        <w:jc w:val="both"/>
      </w:pPr>
      <w:r>
        <w:rPr>
          <w:rFonts w:ascii="Times New Roman"/>
          <w:b w:val="false"/>
          <w:i w:val="false"/>
          <w:color w:val="000000"/>
          <w:sz w:val="28"/>
        </w:rPr>
        <w:t>
      7)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 бақылау және қадағалау субъектісіне (объектісіне) тікелей байланыссыз бақылау субъектілерін (объектілерін) іріктеу үшін пайдаланылатын тәуекел дәрежесін бағалау өлшемшарттары;</w:t>
      </w:r>
    </w:p>
    <w:bookmarkEnd w:id="18"/>
    <w:bookmarkStart w:name="z30" w:id="19"/>
    <w:p>
      <w:pPr>
        <w:spacing w:after="0"/>
        <w:ind w:left="0"/>
        <w:jc w:val="both"/>
      </w:pPr>
      <w:r>
        <w:rPr>
          <w:rFonts w:ascii="Times New Roman"/>
          <w:b w:val="false"/>
          <w:i w:val="false"/>
          <w:color w:val="000000"/>
          <w:sz w:val="28"/>
        </w:rPr>
        <w:t>
      8) тәуекел дәрежесін бағалаудың субъективті өлшемшарттары (бұдан әрі – субъективті өлшемшарттар) – нақты бақылау субъектісінің (объектісінің) қызметі нәтижелеріне байланысты бақылау және қадағалау субъектілерін (объектілерін) іріктеу үшін пайдаланылатын тәуекел дәрежесін бағалау өлшемшарттары;</w:t>
      </w:r>
    </w:p>
    <w:bookmarkEnd w:id="19"/>
    <w:bookmarkStart w:name="z31" w:id="20"/>
    <w:p>
      <w:pPr>
        <w:spacing w:after="0"/>
        <w:ind w:left="0"/>
        <w:jc w:val="both"/>
      </w:pPr>
      <w:r>
        <w:rPr>
          <w:rFonts w:ascii="Times New Roman"/>
          <w:b w:val="false"/>
          <w:i w:val="false"/>
          <w:color w:val="000000"/>
          <w:sz w:val="28"/>
        </w:rPr>
        <w:t>
      9)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субъектісіне бару арқылы профилактикалық бақылауды кейіннен жүзеге асыру үшін бақылау субъектілерін тәуекел дәрежелері бойынша бөлу арқылы қолайсыз факторлардың туындау ықтималдығын азайтуға бағытталған, сондай-ақ нақты бақылау субъектісі үшін тәуекел деңгейін өзгертуге бағытталған басқарушылық шешімдерді қабылдау және (немесе) осындай субъектісін бақылау субъектісіне бару арқылы профилактикалық бақылаудан босату процесі;</w:t>
      </w:r>
    </w:p>
    <w:bookmarkEnd w:id="20"/>
    <w:bookmarkStart w:name="z32" w:id="21"/>
    <w:p>
      <w:pPr>
        <w:spacing w:after="0"/>
        <w:ind w:left="0"/>
        <w:jc w:val="both"/>
      </w:pPr>
      <w:r>
        <w:rPr>
          <w:rFonts w:ascii="Times New Roman"/>
          <w:b w:val="false"/>
          <w:i w:val="false"/>
          <w:color w:val="000000"/>
          <w:sz w:val="28"/>
        </w:rPr>
        <w:t>
      10) тексеру парағы – бақылау субъектілерінің (объектілерінің) қызметіне қойылатын, олардың сақталмауы жеке және заңды тұлғалардың, мемлекеттің заңды мүдделеріне қатер төндіруге алып келетін талаптар тізбесі.</w:t>
      </w:r>
    </w:p>
    <w:bookmarkEnd w:id="21"/>
    <w:bookmarkStart w:name="z33" w:id="22"/>
    <w:p>
      <w:pPr>
        <w:spacing w:after="0"/>
        <w:ind w:left="0"/>
        <w:jc w:val="both"/>
      </w:pPr>
      <w:r>
        <w:rPr>
          <w:rFonts w:ascii="Times New Roman"/>
          <w:b w:val="false"/>
          <w:i w:val="false"/>
          <w:color w:val="000000"/>
          <w:sz w:val="28"/>
        </w:rPr>
        <w:t>
      3. Бақылау субъектісіне (объектісіне) бару арқылы профилактикалық бақылауды жүргізу еселігі жүргізілетін талдау және субъективті өлшемдер бойынша алынатын мәліметтерді бағалау нәтижелері бойынша, бірақ жылына бір реттен жиілетпей айқындалады.</w:t>
      </w:r>
    </w:p>
    <w:bookmarkEnd w:id="22"/>
    <w:bookmarkStart w:name="z34" w:id="23"/>
    <w:p>
      <w:pPr>
        <w:spacing w:after="0"/>
        <w:ind w:left="0"/>
        <w:jc w:val="both"/>
      </w:pPr>
      <w:r>
        <w:rPr>
          <w:rFonts w:ascii="Times New Roman"/>
          <w:b w:val="false"/>
          <w:i w:val="false"/>
          <w:color w:val="000000"/>
          <w:sz w:val="28"/>
        </w:rPr>
        <w:t>
      4. Мемлекеттік органның бірінші басшысы бекіткен бақылау субъектісіне (объектісіне) бару арқылы профилактикалық бақылау жүргізудің жартыжылдық тізімі бақылау субъектісіне (объектісіне) бару арқылы профилактикалық бақылау тағайындау үшін негіз болып табылады.</w:t>
      </w:r>
    </w:p>
    <w:bookmarkEnd w:id="23"/>
    <w:bookmarkStart w:name="z35" w:id="24"/>
    <w:p>
      <w:pPr>
        <w:spacing w:after="0"/>
        <w:ind w:left="0"/>
        <w:jc w:val="both"/>
      </w:pPr>
      <w:r>
        <w:rPr>
          <w:rFonts w:ascii="Times New Roman"/>
          <w:b w:val="false"/>
          <w:i w:val="false"/>
          <w:color w:val="000000"/>
          <w:sz w:val="28"/>
        </w:rPr>
        <w:t>
      5. Бақылау субъектісіне (объектінің) бару арқылы профилактикалық бақылау субъектілерінің тізімі субъективті өлшемшарттар бойынша жоғары тәуекелдік дәрежесі бар бақылау субъектісінің басымдықтарын ескере отырып жасалады.</w:t>
      </w:r>
    </w:p>
    <w:bookmarkEnd w:id="24"/>
    <w:bookmarkStart w:name="z36" w:id="25"/>
    <w:p>
      <w:pPr>
        <w:spacing w:after="0"/>
        <w:ind w:left="0"/>
        <w:jc w:val="both"/>
      </w:pPr>
      <w:r>
        <w:rPr>
          <w:rFonts w:ascii="Times New Roman"/>
          <w:b w:val="false"/>
          <w:i w:val="false"/>
          <w:color w:val="000000"/>
          <w:sz w:val="28"/>
        </w:rPr>
        <w:t>
      6. Бақылау субъектісіне (объектісіне) бару арқылы профилактикалық бақылау үшін өлшемшарттар объективті және субъективті өлшемшарттар арқылы қалыптастырылады.</w:t>
      </w:r>
    </w:p>
    <w:bookmarkEnd w:id="25"/>
    <w:bookmarkStart w:name="z37" w:id="26"/>
    <w:p>
      <w:pPr>
        <w:spacing w:after="0"/>
        <w:ind w:left="0"/>
        <w:jc w:val="left"/>
      </w:pPr>
      <w:r>
        <w:rPr>
          <w:rFonts w:ascii="Times New Roman"/>
          <w:b/>
          <w:i w:val="false"/>
          <w:color w:val="000000"/>
        </w:rPr>
        <w:t xml:space="preserve"> 2-тарау. Бақылау субъектілерінің (объектілерінің) профилактикалық бақылау жүргізу кезінде тәуекелдерді бағалау және басқару жүйесін қалыптастыру тәртібі</w:t>
      </w:r>
    </w:p>
    <w:bookmarkEnd w:id="26"/>
    <w:bookmarkStart w:name="z38" w:id="27"/>
    <w:p>
      <w:pPr>
        <w:spacing w:after="0"/>
        <w:ind w:left="0"/>
        <w:jc w:val="both"/>
      </w:pPr>
      <w:r>
        <w:rPr>
          <w:rFonts w:ascii="Times New Roman"/>
          <w:b w:val="false"/>
          <w:i w:val="false"/>
          <w:color w:val="000000"/>
          <w:sz w:val="28"/>
        </w:rPr>
        <w:t>
      7. Бақылау субъектісіне (объектісіне) бару арқылы профилактикалық бақылауды жүзеге асыру кезінде бақылау субъектілері (объектілері) мынадай тәуекел дәрежелерінің біріне (бұдан әрі – тәуекел дәрежесі) жатады:</w:t>
      </w:r>
    </w:p>
    <w:bookmarkEnd w:id="27"/>
    <w:bookmarkStart w:name="z39" w:id="28"/>
    <w:p>
      <w:pPr>
        <w:spacing w:after="0"/>
        <w:ind w:left="0"/>
        <w:jc w:val="both"/>
      </w:pPr>
      <w:r>
        <w:rPr>
          <w:rFonts w:ascii="Times New Roman"/>
          <w:b w:val="false"/>
          <w:i w:val="false"/>
          <w:color w:val="000000"/>
          <w:sz w:val="28"/>
        </w:rPr>
        <w:t>
      1) жоғары тәуекел;</w:t>
      </w:r>
    </w:p>
    <w:bookmarkEnd w:id="28"/>
    <w:bookmarkStart w:name="z40" w:id="29"/>
    <w:p>
      <w:pPr>
        <w:spacing w:after="0"/>
        <w:ind w:left="0"/>
        <w:jc w:val="both"/>
      </w:pPr>
      <w:r>
        <w:rPr>
          <w:rFonts w:ascii="Times New Roman"/>
          <w:b w:val="false"/>
          <w:i w:val="false"/>
          <w:color w:val="000000"/>
          <w:sz w:val="28"/>
        </w:rPr>
        <w:t>
      2) орташа тәуекел;</w:t>
      </w:r>
    </w:p>
    <w:bookmarkEnd w:id="29"/>
    <w:bookmarkStart w:name="z41" w:id="30"/>
    <w:p>
      <w:pPr>
        <w:spacing w:after="0"/>
        <w:ind w:left="0"/>
        <w:jc w:val="both"/>
      </w:pPr>
      <w:r>
        <w:rPr>
          <w:rFonts w:ascii="Times New Roman"/>
          <w:b w:val="false"/>
          <w:i w:val="false"/>
          <w:color w:val="000000"/>
          <w:sz w:val="28"/>
        </w:rPr>
        <w:t>
      3) төмен тәуекел.</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Қолданылатын ақпарат көздерінің басымдығын негізге ала отырып, субъективті өлшемшарттар бойынша тәуекел дәрежесінің жалпы көрсеткішін есептеу тәртібіне сәйкес осы Өлшемшарттардың </w:t>
      </w:r>
      <w:r>
        <w:rPr>
          <w:rFonts w:ascii="Times New Roman"/>
          <w:b w:val="false"/>
          <w:i w:val="false"/>
          <w:color w:val="000000"/>
          <w:sz w:val="28"/>
        </w:rPr>
        <w:t>3-тарауына</w:t>
      </w:r>
      <w:r>
        <w:rPr>
          <w:rFonts w:ascii="Times New Roman"/>
          <w:b w:val="false"/>
          <w:i w:val="false"/>
          <w:color w:val="000000"/>
          <w:sz w:val="28"/>
        </w:rPr>
        <w:t xml:space="preserve"> сәйкес субъективті өлшемшарттар бойынша тәуекел дәрежесінің жалпы көрсеткіші 0-ден 100-ге дейінгі шәкіл бойынша есептеледі.</w:t>
      </w:r>
    </w:p>
    <w:bookmarkStart w:name="z43" w:id="31"/>
    <w:p>
      <w:pPr>
        <w:spacing w:after="0"/>
        <w:ind w:left="0"/>
        <w:jc w:val="both"/>
      </w:pPr>
      <w:r>
        <w:rPr>
          <w:rFonts w:ascii="Times New Roman"/>
          <w:b w:val="false"/>
          <w:i w:val="false"/>
          <w:color w:val="000000"/>
          <w:sz w:val="28"/>
        </w:rPr>
        <w:t>
      Тәуекел дәрежесінің көрсеткіштері бойынша бақылау субъектісі (объектісі) мыналарға:</w:t>
      </w:r>
    </w:p>
    <w:bookmarkEnd w:id="31"/>
    <w:bookmarkStart w:name="z44" w:id="32"/>
    <w:p>
      <w:pPr>
        <w:spacing w:after="0"/>
        <w:ind w:left="0"/>
        <w:jc w:val="both"/>
      </w:pPr>
      <w:r>
        <w:rPr>
          <w:rFonts w:ascii="Times New Roman"/>
          <w:b w:val="false"/>
          <w:i w:val="false"/>
          <w:color w:val="000000"/>
          <w:sz w:val="28"/>
        </w:rPr>
        <w:t>
      1) тәуекел дәрежесінің көрсеткіші 71-ден 100-ді қоса алғанға дейін болған кезде – тәуекелдің жоғары дәрежесіне;</w:t>
      </w:r>
    </w:p>
    <w:bookmarkEnd w:id="32"/>
    <w:bookmarkStart w:name="z45" w:id="33"/>
    <w:p>
      <w:pPr>
        <w:spacing w:after="0"/>
        <w:ind w:left="0"/>
        <w:jc w:val="both"/>
      </w:pPr>
      <w:r>
        <w:rPr>
          <w:rFonts w:ascii="Times New Roman"/>
          <w:b w:val="false"/>
          <w:i w:val="false"/>
          <w:color w:val="000000"/>
          <w:sz w:val="28"/>
        </w:rPr>
        <w:t>
      2) тәуекел дәрежесінің көрсеткіші 31-ден 70-ті қоса алғанға дейін болған кезде – тәуекелдің орташа дәрежесіне;</w:t>
      </w:r>
    </w:p>
    <w:bookmarkEnd w:id="33"/>
    <w:bookmarkStart w:name="z46" w:id="34"/>
    <w:p>
      <w:pPr>
        <w:spacing w:after="0"/>
        <w:ind w:left="0"/>
        <w:jc w:val="both"/>
      </w:pPr>
      <w:r>
        <w:rPr>
          <w:rFonts w:ascii="Times New Roman"/>
          <w:b w:val="false"/>
          <w:i w:val="false"/>
          <w:color w:val="000000"/>
          <w:sz w:val="28"/>
        </w:rPr>
        <w:t>
      3) тәуекел дәрежесінің көрсеткіші 0-ден 30-ты қоса алғанға дейін болған кезде – тәуекелдің төмен дәрежесіне жатқызылады.</w:t>
      </w:r>
    </w:p>
    <w:bookmarkEnd w:id="34"/>
    <w:p>
      <w:pPr>
        <w:spacing w:after="0"/>
        <w:ind w:left="0"/>
        <w:jc w:val="both"/>
      </w:pPr>
      <w:r>
        <w:rPr>
          <w:rFonts w:ascii="Times New Roman"/>
          <w:b w:val="false"/>
          <w:i w:val="false"/>
          <w:color w:val="000000"/>
          <w:sz w:val="28"/>
        </w:rPr>
        <w:t>
      Жоғары және орташа тәуекел дәрежесіне жатқызылған бақылау субъектілері (объектілері) үшін бақылау субъектісіне (объектісіне) бару арқылы профилактикалық бақылау және жоспардан тыс тексеру жүргізіледі.</w:t>
      </w:r>
    </w:p>
    <w:p>
      <w:pPr>
        <w:spacing w:after="0"/>
        <w:ind w:left="0"/>
        <w:jc w:val="both"/>
      </w:pPr>
      <w:r>
        <w:rPr>
          <w:rFonts w:ascii="Times New Roman"/>
          <w:b w:val="false"/>
          <w:i w:val="false"/>
          <w:color w:val="000000"/>
          <w:sz w:val="28"/>
        </w:rPr>
        <w:t>
      Тәуекелдің төмен дәрежесіне жатқызылған бақылау субъектілері (объектілері) үшін жоспардан тыс тексеру жүргізіледі.</w:t>
      </w:r>
    </w:p>
    <w:bookmarkStart w:name="z47" w:id="35"/>
    <w:p>
      <w:pPr>
        <w:spacing w:after="0"/>
        <w:ind w:left="0"/>
        <w:jc w:val="both"/>
      </w:pPr>
      <w:r>
        <w:rPr>
          <w:rFonts w:ascii="Times New Roman"/>
          <w:b w:val="false"/>
          <w:i w:val="false"/>
          <w:color w:val="000000"/>
          <w:sz w:val="28"/>
        </w:rPr>
        <w:t>
      9. Бақылау субъектісіне (объектісіне) профилактикалық бақылау жүргізу үшін тәуекел дәрежесін бағалау критерийлері объективті және субъективті критерийлерді айқындау арқылы қалыптастырылады.</w:t>
      </w:r>
    </w:p>
    <w:bookmarkEnd w:id="35"/>
    <w:bookmarkStart w:name="z48" w:id="36"/>
    <w:p>
      <w:pPr>
        <w:spacing w:after="0"/>
        <w:ind w:left="0"/>
        <w:jc w:val="both"/>
      </w:pPr>
      <w:r>
        <w:rPr>
          <w:rFonts w:ascii="Times New Roman"/>
          <w:b w:val="false"/>
          <w:i w:val="false"/>
          <w:color w:val="000000"/>
          <w:sz w:val="28"/>
        </w:rPr>
        <w:t>
      10. Мемлекеттік органдардың тәуекелдерді бағалау және басқару жүйесі бақылау субъектілерін (объектілерін) тәуекелдің нақты дәрежелеріне жатқызатын және бақылау іс-шараларын жүргізу кестелерін немесе тізімдерін қалыптастыратын ақпараттық жүйелерді пайдалана отырып жүргізіледі, сондай-ақ мемлекеттік статистикаға, ведомстволық статистикалық байқаудың қорытындыларына, сондай-ақ ақпараттық құралдарға негізделеді.</w:t>
      </w:r>
    </w:p>
    <w:bookmarkEnd w:id="36"/>
    <w:p>
      <w:pPr>
        <w:spacing w:after="0"/>
        <w:ind w:left="0"/>
        <w:jc w:val="both"/>
      </w:pPr>
      <w:r>
        <w:rPr>
          <w:rFonts w:ascii="Times New Roman"/>
          <w:b w:val="false"/>
          <w:i w:val="false"/>
          <w:color w:val="000000"/>
          <w:sz w:val="28"/>
        </w:rPr>
        <w:t>
      Тәуекелдерді бағалау мен басқарудың ақпараттық жүйесі болмаған кезде оларға қатысты бақылау субъектісіне (объектісіне) бару арқылы профилактикалық бақылау жүзеге асырылатын бақылау субъектілері (объектілері) санының ең аз жол берілетін шегі мемлекеттік бақылаудың белгілі бір саласындағы осындай бақылау субъектілерінің жалпы санының бес пайызынан аспауға тиіс.</w:t>
      </w:r>
    </w:p>
    <w:bookmarkStart w:name="z49" w:id="37"/>
    <w:p>
      <w:pPr>
        <w:spacing w:after="0"/>
        <w:ind w:left="0"/>
        <w:jc w:val="left"/>
      </w:pPr>
      <w:r>
        <w:rPr>
          <w:rFonts w:ascii="Times New Roman"/>
          <w:b/>
          <w:i w:val="false"/>
          <w:color w:val="000000"/>
        </w:rPr>
        <w:t xml:space="preserve"> 1-Параграф. Объективті өлшемшарттар</w:t>
      </w:r>
    </w:p>
    <w:bookmarkEnd w:id="37"/>
    <w:bookmarkStart w:name="z50" w:id="38"/>
    <w:p>
      <w:pPr>
        <w:spacing w:after="0"/>
        <w:ind w:left="0"/>
        <w:jc w:val="both"/>
      </w:pPr>
      <w:r>
        <w:rPr>
          <w:rFonts w:ascii="Times New Roman"/>
          <w:b w:val="false"/>
          <w:i w:val="false"/>
          <w:color w:val="000000"/>
          <w:sz w:val="28"/>
        </w:rPr>
        <w:t>
      11. Лотерея және лотерея қызметі саласында тәуекелдің жоғары дәрежесіне жеке тұлғалар мен заңды тұлғалардың заңды мүдделеріне, мемлекеттің мүліктік мүдделеріне зиян келтіру ықтималдығы тәуекелдері жатады.</w:t>
      </w:r>
    </w:p>
    <w:bookmarkEnd w:id="38"/>
    <w:p>
      <w:pPr>
        <w:spacing w:after="0"/>
        <w:ind w:left="0"/>
        <w:jc w:val="both"/>
      </w:pPr>
      <w:r>
        <w:rPr>
          <w:rFonts w:ascii="Times New Roman"/>
          <w:b w:val="false"/>
          <w:i w:val="false"/>
          <w:color w:val="000000"/>
          <w:sz w:val="28"/>
        </w:rPr>
        <w:t>
      Объективті өлшемшарттар бойынша тәуекелдің жоғары дәрежесіне лотерея және лотерея қызметі саласындағы қызметті жүзеге асыратын бақылау субъектісі (объектісі) жатады.</w:t>
      </w:r>
    </w:p>
    <w:bookmarkStart w:name="z51" w:id="39"/>
    <w:p>
      <w:pPr>
        <w:spacing w:after="0"/>
        <w:ind w:left="0"/>
        <w:jc w:val="left"/>
      </w:pPr>
      <w:r>
        <w:rPr>
          <w:rFonts w:ascii="Times New Roman"/>
          <w:b/>
          <w:i w:val="false"/>
          <w:color w:val="000000"/>
        </w:rPr>
        <w:t xml:space="preserve"> 2-Параграф. Субъективті өлшемшарттар</w:t>
      </w:r>
    </w:p>
    <w:bookmarkEnd w:id="39"/>
    <w:bookmarkStart w:name="z52" w:id="40"/>
    <w:p>
      <w:pPr>
        <w:spacing w:after="0"/>
        <w:ind w:left="0"/>
        <w:jc w:val="both"/>
      </w:pPr>
      <w:r>
        <w:rPr>
          <w:rFonts w:ascii="Times New Roman"/>
          <w:b w:val="false"/>
          <w:i w:val="false"/>
          <w:color w:val="000000"/>
          <w:sz w:val="28"/>
        </w:rPr>
        <w:t>
      12. Субъективті өлшемшарттарды айқындау мынадай кезеңдерді қолдана отырып жүзеге асырылады:</w:t>
      </w:r>
    </w:p>
    <w:bookmarkEnd w:id="40"/>
    <w:bookmarkStart w:name="z53" w:id="41"/>
    <w:p>
      <w:pPr>
        <w:spacing w:after="0"/>
        <w:ind w:left="0"/>
        <w:jc w:val="both"/>
      </w:pPr>
      <w:r>
        <w:rPr>
          <w:rFonts w:ascii="Times New Roman"/>
          <w:b w:val="false"/>
          <w:i w:val="false"/>
          <w:color w:val="000000"/>
          <w:sz w:val="28"/>
        </w:rPr>
        <w:t>
      1) лотерея және лотерея қызметі саласындағы заңнама талаптарының бұзылуы туралы деректер базасын қалыптастыру және ақпарат жинау;</w:t>
      </w:r>
    </w:p>
    <w:bookmarkEnd w:id="41"/>
    <w:bookmarkStart w:name="z54" w:id="42"/>
    <w:p>
      <w:pPr>
        <w:spacing w:after="0"/>
        <w:ind w:left="0"/>
        <w:jc w:val="both"/>
      </w:pPr>
      <w:r>
        <w:rPr>
          <w:rFonts w:ascii="Times New Roman"/>
          <w:b w:val="false"/>
          <w:i w:val="false"/>
          <w:color w:val="000000"/>
          <w:sz w:val="28"/>
        </w:rPr>
        <w:t>
      2) ақпаратты талдау және тәуекелдерді бағалау.</w:t>
      </w:r>
    </w:p>
    <w:bookmarkEnd w:id="42"/>
    <w:bookmarkStart w:name="z55" w:id="43"/>
    <w:p>
      <w:pPr>
        <w:spacing w:after="0"/>
        <w:ind w:left="0"/>
        <w:jc w:val="both"/>
      </w:pPr>
      <w:r>
        <w:rPr>
          <w:rFonts w:ascii="Times New Roman"/>
          <w:b w:val="false"/>
          <w:i w:val="false"/>
          <w:color w:val="000000"/>
          <w:sz w:val="28"/>
        </w:rPr>
        <w:t>
      13. Деректер базасын қалыптастыру және ақпарат жинау Қазақстан Республикасының заңнамасын бұзатын бақылау субъектісін анықтау үшін қажет.</w:t>
      </w:r>
    </w:p>
    <w:bookmarkEnd w:id="43"/>
    <w:bookmarkStart w:name="z56" w:id="44"/>
    <w:p>
      <w:pPr>
        <w:spacing w:after="0"/>
        <w:ind w:left="0"/>
        <w:jc w:val="both"/>
      </w:pPr>
      <w:r>
        <w:rPr>
          <w:rFonts w:ascii="Times New Roman"/>
          <w:b w:val="false"/>
          <w:i w:val="false"/>
          <w:color w:val="000000"/>
          <w:sz w:val="28"/>
        </w:rPr>
        <w:t>
      Субъективті өлшемшарттардың тәуекел дәрежесін бағалау үшін мынадай ақпарат көздері пайдаланылады:</w:t>
      </w:r>
    </w:p>
    <w:bookmarkEnd w:id="44"/>
    <w:bookmarkStart w:name="z57" w:id="45"/>
    <w:p>
      <w:pPr>
        <w:spacing w:after="0"/>
        <w:ind w:left="0"/>
        <w:jc w:val="both"/>
      </w:pPr>
      <w:r>
        <w:rPr>
          <w:rFonts w:ascii="Times New Roman"/>
          <w:b w:val="false"/>
          <w:i w:val="false"/>
          <w:color w:val="000000"/>
          <w:sz w:val="28"/>
        </w:rPr>
        <w:t>
      1) бақылау субъектісі ұсынатын есептілік пен мәліметтер мониторингінің нәтижелері;</w:t>
      </w:r>
    </w:p>
    <w:bookmarkEnd w:id="45"/>
    <w:bookmarkStart w:name="z58" w:id="46"/>
    <w:p>
      <w:pPr>
        <w:spacing w:after="0"/>
        <w:ind w:left="0"/>
        <w:jc w:val="both"/>
      </w:pPr>
      <w:r>
        <w:rPr>
          <w:rFonts w:ascii="Times New Roman"/>
          <w:b w:val="false"/>
          <w:i w:val="false"/>
          <w:color w:val="000000"/>
          <w:sz w:val="28"/>
        </w:rPr>
        <w:t>
      2) бақылау субъектіге (объектіге) алдыңғы жоспардан тыс тексерулер мен бару арқылы профилактикалық бақылаудың нәтижелері;</w:t>
      </w:r>
    </w:p>
    <w:bookmarkEnd w:id="46"/>
    <w:bookmarkStart w:name="z59" w:id="47"/>
    <w:p>
      <w:pPr>
        <w:spacing w:after="0"/>
        <w:ind w:left="0"/>
        <w:jc w:val="both"/>
      </w:pPr>
      <w:r>
        <w:rPr>
          <w:rFonts w:ascii="Times New Roman"/>
          <w:b w:val="false"/>
          <w:i w:val="false"/>
          <w:color w:val="000000"/>
          <w:sz w:val="28"/>
        </w:rPr>
        <w:t>
      3) расталған шағымдар мен өтініштердің болуы және саны;</w:t>
      </w:r>
    </w:p>
    <w:bookmarkEnd w:id="47"/>
    <w:bookmarkStart w:name="z60" w:id="48"/>
    <w:p>
      <w:pPr>
        <w:spacing w:after="0"/>
        <w:ind w:left="0"/>
        <w:jc w:val="both"/>
      </w:pPr>
      <w:r>
        <w:rPr>
          <w:rFonts w:ascii="Times New Roman"/>
          <w:b w:val="false"/>
          <w:i w:val="false"/>
          <w:color w:val="000000"/>
          <w:sz w:val="28"/>
        </w:rPr>
        <w:t>
      4) мемлекеттік органдардың, бұқаралық ақпарат құралдарының ресми интернет-ресурстарын талдау;</w:t>
      </w:r>
    </w:p>
    <w:bookmarkEnd w:id="48"/>
    <w:bookmarkStart w:name="z61" w:id="49"/>
    <w:p>
      <w:pPr>
        <w:spacing w:after="0"/>
        <w:ind w:left="0"/>
        <w:jc w:val="both"/>
      </w:pPr>
      <w:r>
        <w:rPr>
          <w:rFonts w:ascii="Times New Roman"/>
          <w:b w:val="false"/>
          <w:i w:val="false"/>
          <w:color w:val="000000"/>
          <w:sz w:val="28"/>
        </w:rPr>
        <w:t>
      5) мемлекеттік органдар мен ұйымдар ұсынатын мәліметтерді талдау нәтижелері.</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Бақылау субъектілерінің тәуекел дәрежесін бағалау және оларды тәуекел дәрежесінің өрескел, елеулі және елеусіз тобына жатқызу осы Өлшемшарттардың </w:t>
      </w:r>
      <w:r>
        <w:rPr>
          <w:rFonts w:ascii="Times New Roman"/>
          <w:b w:val="false"/>
          <w:i w:val="false"/>
          <w:color w:val="000000"/>
          <w:sz w:val="28"/>
        </w:rPr>
        <w:t>қосымшаға</w:t>
      </w:r>
      <w:r>
        <w:rPr>
          <w:rFonts w:ascii="Times New Roman"/>
          <w:b w:val="false"/>
          <w:i w:val="false"/>
          <w:color w:val="000000"/>
          <w:sz w:val="28"/>
        </w:rPr>
        <w:t xml:space="preserve"> сәйкес жүзеге асырылады.</w:t>
      </w:r>
    </w:p>
    <w:bookmarkStart w:name="z63" w:id="50"/>
    <w:p>
      <w:pPr>
        <w:spacing w:after="0"/>
        <w:ind w:left="0"/>
        <w:jc w:val="both"/>
      </w:pPr>
      <w:r>
        <w:rPr>
          <w:rFonts w:ascii="Times New Roman"/>
          <w:b w:val="false"/>
          <w:i w:val="false"/>
          <w:color w:val="000000"/>
          <w:sz w:val="28"/>
        </w:rPr>
        <w:t>
      15. Субъективті өлшемшарттарды талдау және бағалау ең жоғары әлеуетті тәуекелі бар бақылау субъектісіне (объектісіне) қатысты бақылау субъектісіне (объектісіне) профилактикалық бақылауды шоғырландыруға мүмкіндік береді.</w:t>
      </w:r>
    </w:p>
    <w:bookmarkEnd w:id="50"/>
    <w:p>
      <w:pPr>
        <w:spacing w:after="0"/>
        <w:ind w:left="0"/>
        <w:jc w:val="both"/>
      </w:pPr>
      <w:r>
        <w:rPr>
          <w:rFonts w:ascii="Times New Roman"/>
          <w:b w:val="false"/>
          <w:i w:val="false"/>
          <w:color w:val="000000"/>
          <w:sz w:val="28"/>
        </w:rPr>
        <w:t>
      Бұл ретте талдау және бағалау кезінде нақты бақылау субъектісіне (объектісіне) қатысты бұрын ескерілген және пайдаланылған субъективті өлшемшарттардың деректері не Қазақстан Республикасының заңнамасына сәйкес талап қою мерзімі өткен деректер қолданылмайды.</w:t>
      </w:r>
    </w:p>
    <w:p>
      <w:pPr>
        <w:spacing w:after="0"/>
        <w:ind w:left="0"/>
        <w:jc w:val="both"/>
      </w:pPr>
      <w:r>
        <w:rPr>
          <w:rFonts w:ascii="Times New Roman"/>
          <w:b w:val="false"/>
          <w:i w:val="false"/>
          <w:color w:val="000000"/>
          <w:sz w:val="28"/>
        </w:rPr>
        <w:t>
      Алдыңғы жүргізілген бару арқылы профилактикалық бақылаудың қорытындылары бойынша берілген бұзушылықтарды толық көлемде жойған бақылау субъектісіне қатысты оны мемлекеттік бақылаудың кезекті кезеңіне кестелер мен тізімдерді қалыптастыру кезінде енгізуге жол берілмейді.</w:t>
      </w:r>
    </w:p>
    <w:bookmarkStart w:name="z64" w:id="51"/>
    <w:p>
      <w:pPr>
        <w:spacing w:after="0"/>
        <w:ind w:left="0"/>
        <w:jc w:val="left"/>
      </w:pPr>
      <w:r>
        <w:rPr>
          <w:rFonts w:ascii="Times New Roman"/>
          <w:b/>
          <w:i w:val="false"/>
          <w:color w:val="000000"/>
        </w:rPr>
        <w:t xml:space="preserve"> 3-тарау. Субъективті өлшемшарттар бойынша тәуекел дәрежесінің жалпы көрсеткішін есептеу</w:t>
      </w:r>
    </w:p>
    <w:bookmarkEnd w:id="51"/>
    <w:p>
      <w:pPr>
        <w:spacing w:after="0"/>
        <w:ind w:left="0"/>
        <w:jc w:val="left"/>
      </w:pPr>
    </w:p>
    <w:p>
      <w:pPr>
        <w:spacing w:after="0"/>
        <w:ind w:left="0"/>
        <w:jc w:val="both"/>
      </w:pPr>
      <w:r>
        <w:rPr>
          <w:rFonts w:ascii="Times New Roman"/>
          <w:b w:val="false"/>
          <w:i w:val="false"/>
          <w:color w:val="000000"/>
          <w:sz w:val="28"/>
        </w:rPr>
        <w:t xml:space="preserve">
      16. Осы Өлшемшарттардың </w:t>
      </w:r>
      <w:r>
        <w:rPr>
          <w:rFonts w:ascii="Times New Roman"/>
          <w:b w:val="false"/>
          <w:i w:val="false"/>
          <w:color w:val="000000"/>
          <w:sz w:val="28"/>
        </w:rPr>
        <w:t>7-тармағына</w:t>
      </w:r>
      <w:r>
        <w:rPr>
          <w:rFonts w:ascii="Times New Roman"/>
          <w:b w:val="false"/>
          <w:i w:val="false"/>
          <w:color w:val="000000"/>
          <w:sz w:val="28"/>
        </w:rPr>
        <w:t xml:space="preserve"> сәйкес бақылау субъектісін тәуекел дәрежесіне жатқызу үшін тәуекел дәрежесінің көрсеткішін есептеудің мынадай тәртібі қолданылады.</w:t>
      </w:r>
    </w:p>
    <w:p>
      <w:pPr>
        <w:spacing w:after="0"/>
        <w:ind w:left="0"/>
        <w:jc w:val="both"/>
      </w:pPr>
      <w:r>
        <w:rPr>
          <w:rFonts w:ascii="Times New Roman"/>
          <w:b w:val="false"/>
          <w:i w:val="false"/>
          <w:color w:val="000000"/>
          <w:sz w:val="28"/>
        </w:rPr>
        <w:t>
      Бір өрескел бұзушылық анықталған кезде бақылау субъектісіне тәуекел дәрежесінің 100 көрсеткіші теңестіріледі және оған қатысты бақылау субъектісіне (объектісіне) бару арқылы профилактикалық бақылау жүргізіледі.</w:t>
      </w:r>
    </w:p>
    <w:p>
      <w:pPr>
        <w:spacing w:after="0"/>
        <w:ind w:left="0"/>
        <w:jc w:val="both"/>
      </w:pPr>
      <w:r>
        <w:rPr>
          <w:rFonts w:ascii="Times New Roman"/>
          <w:b w:val="false"/>
          <w:i w:val="false"/>
          <w:color w:val="000000"/>
          <w:sz w:val="28"/>
        </w:rPr>
        <w:t>
      Өрескел бұзушылықтар анықталмаған жағдайда тәуекел дәрежесінің көрсеткішін айқындау үшін елеулі және болмашы дәрежедегі бұзушылықтар бойынша жиынтық көрсеткіш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 және бұл көрсеткіш мына формула бойынша есептеледі:</w:t>
      </w:r>
    </w:p>
    <w:p>
      <w:pPr>
        <w:spacing w:after="0"/>
        <w:ind w:left="0"/>
        <w:jc w:val="both"/>
      </w:pPr>
      <w:r>
        <w:rPr>
          <w:rFonts w:ascii="Times New Roman"/>
          <w:b w:val="false"/>
          <w:i w:val="false"/>
          <w:color w:val="000000"/>
          <w:sz w:val="28"/>
        </w:rPr>
        <w:t>
      SРз = (SР2 х 100/SР1) х 0,7,</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SР3 – елеулі бұзушылықтардың көрсеткіші;</w:t>
      </w:r>
    </w:p>
    <w:p>
      <w:pPr>
        <w:spacing w:after="0"/>
        <w:ind w:left="0"/>
        <w:jc w:val="both"/>
      </w:pPr>
      <w:r>
        <w:rPr>
          <w:rFonts w:ascii="Times New Roman"/>
          <w:b w:val="false"/>
          <w:i w:val="false"/>
          <w:color w:val="000000"/>
          <w:sz w:val="28"/>
        </w:rPr>
        <w:t>
      ЅР1 - елеулі бұзушылықтардың талап етілетін саны;</w:t>
      </w:r>
    </w:p>
    <w:p>
      <w:pPr>
        <w:spacing w:after="0"/>
        <w:ind w:left="0"/>
        <w:jc w:val="both"/>
      </w:pPr>
      <w:r>
        <w:rPr>
          <w:rFonts w:ascii="Times New Roman"/>
          <w:b w:val="false"/>
          <w:i w:val="false"/>
          <w:color w:val="000000"/>
          <w:sz w:val="28"/>
        </w:rPr>
        <w:t>
      ЅР2 -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 және бұл көрсеткіш мына формула бойынша есептеледі:</w:t>
      </w:r>
    </w:p>
    <w:p>
      <w:pPr>
        <w:spacing w:after="0"/>
        <w:ind w:left="0"/>
        <w:jc w:val="both"/>
      </w:pPr>
      <w:r>
        <w:rPr>
          <w:rFonts w:ascii="Times New Roman"/>
          <w:b w:val="false"/>
          <w:i w:val="false"/>
          <w:color w:val="000000"/>
          <w:sz w:val="28"/>
        </w:rPr>
        <w:t>
      SРн = (SР2 х 100/SР1) х 0,3,</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ЅРн – болмашы бұзушылықтардың көрсеткіші;</w:t>
      </w:r>
    </w:p>
    <w:p>
      <w:pPr>
        <w:spacing w:after="0"/>
        <w:ind w:left="0"/>
        <w:jc w:val="both"/>
      </w:pPr>
      <w:r>
        <w:rPr>
          <w:rFonts w:ascii="Times New Roman"/>
          <w:b w:val="false"/>
          <w:i w:val="false"/>
          <w:color w:val="000000"/>
          <w:sz w:val="28"/>
        </w:rPr>
        <w:t>
      ЅР1 – болмашы бұзушылықтардың талап етілетін саны;</w:t>
      </w:r>
    </w:p>
    <w:p>
      <w:pPr>
        <w:spacing w:after="0"/>
        <w:ind w:left="0"/>
        <w:jc w:val="both"/>
      </w:pPr>
      <w:r>
        <w:rPr>
          <w:rFonts w:ascii="Times New Roman"/>
          <w:b w:val="false"/>
          <w:i w:val="false"/>
          <w:color w:val="000000"/>
          <w:sz w:val="28"/>
        </w:rPr>
        <w:t>
      ЅР2 – анықталған болмашы бұзушылықтардың саны;</w:t>
      </w:r>
    </w:p>
    <w:p>
      <w:pPr>
        <w:spacing w:after="0"/>
        <w:ind w:left="0"/>
        <w:jc w:val="both"/>
      </w:pPr>
      <w:r>
        <w:rPr>
          <w:rFonts w:ascii="Times New Roman"/>
          <w:b w:val="false"/>
          <w:i w:val="false"/>
          <w:color w:val="000000"/>
          <w:sz w:val="28"/>
        </w:rPr>
        <w:t>
      Тәуекел дәрежесінің жалпы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p>
      <w:pPr>
        <w:spacing w:after="0"/>
        <w:ind w:left="0"/>
        <w:jc w:val="both"/>
      </w:pPr>
      <w:r>
        <w:rPr>
          <w:rFonts w:ascii="Times New Roman"/>
          <w:b w:val="false"/>
          <w:i w:val="false"/>
          <w:color w:val="000000"/>
          <w:sz w:val="28"/>
        </w:rPr>
        <w:t>
      SР = SРз + SРн,</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 – тәуекел дәрежесінің жалпы көрсеткіші;</w:t>
      </w:r>
    </w:p>
    <w:p>
      <w:pPr>
        <w:spacing w:after="0"/>
        <w:ind w:left="0"/>
        <w:jc w:val="both"/>
      </w:pPr>
      <w:r>
        <w:rPr>
          <w:rFonts w:ascii="Times New Roman"/>
          <w:b w:val="false"/>
          <w:i w:val="false"/>
          <w:color w:val="000000"/>
          <w:sz w:val="28"/>
        </w:rPr>
        <w:t>
      SР3 – елеулі бұзушылықтардың көрсеткіші;</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xml:space="preserve">
      Жалпы көрсеткіштің алынған мәні кәсіпкерлік субъектісін осы Өлшемшарттардың </w:t>
      </w:r>
      <w:r>
        <w:rPr>
          <w:rFonts w:ascii="Times New Roman"/>
          <w:b w:val="false"/>
          <w:i w:val="false"/>
          <w:color w:val="000000"/>
          <w:sz w:val="28"/>
        </w:rPr>
        <w:t>8-тармағына</w:t>
      </w:r>
      <w:r>
        <w:rPr>
          <w:rFonts w:ascii="Times New Roman"/>
          <w:b w:val="false"/>
          <w:i w:val="false"/>
          <w:color w:val="000000"/>
          <w:sz w:val="28"/>
        </w:rPr>
        <w:t xml:space="preserve"> сәйкес белгілі бір тәуекел дәрежесіне жатқызуға негіз болып табылады.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лотереялар және лотерея</w:t>
            </w:r>
            <w:r>
              <w:br/>
            </w:r>
            <w:r>
              <w:rPr>
                <w:rFonts w:ascii="Times New Roman"/>
                <w:b w:val="false"/>
                <w:i w:val="false"/>
                <w:color w:val="000000"/>
                <w:sz w:val="20"/>
              </w:rPr>
              <w:t>қызметі туралы заңнамасының</w:t>
            </w:r>
            <w:r>
              <w:br/>
            </w:r>
            <w:r>
              <w:rPr>
                <w:rFonts w:ascii="Times New Roman"/>
                <w:b w:val="false"/>
                <w:i w:val="false"/>
                <w:color w:val="000000"/>
                <w:sz w:val="20"/>
              </w:rPr>
              <w:t>сақталуына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қосымша</w:t>
            </w:r>
          </w:p>
        </w:tc>
      </w:tr>
    </w:tbl>
    <w:bookmarkStart w:name="z67" w:id="52"/>
    <w:p>
      <w:pPr>
        <w:spacing w:after="0"/>
        <w:ind w:left="0"/>
        <w:jc w:val="left"/>
      </w:pPr>
      <w:r>
        <w:rPr>
          <w:rFonts w:ascii="Times New Roman"/>
          <w:b/>
          <w:i w:val="false"/>
          <w:color w:val="000000"/>
        </w:rPr>
        <w:t xml:space="preserve"> Тәуекел дәрежесін бағалаудың субъективті өлшемшарттары</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Бақылау субъектісі ұсынатын есептілік пен мәліметтер мониторингінің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таратылған (өткізілген) лотерея билеттері, түбіртектер немесе өзге де құжаттар, өткізілген лотерея билеттерінен, түбіртектерден немесе өзге де құжаттардан түскен түсім, төленген ұтыстар туралы ақпаратты жинауды, қалыптастыруды, сақтауды және есепке алуды қамтамасыз ету жөніндегі талаптарды сақтамауы және оны айына кемінде бір рет лотерея ақпаратын өңдеу орталығы арқылы лотерея есептілігі орталығына табыс етпеуі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Бақылау субъектіге алдыңғы жоспардан тыс тексерулер мен бару арқылы профилактикалық бақылаудың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тапсырма шартының талаптарында тек қана он сегіз жасқа толған жеке тұлғалар арасында лотерея билеттерін, түбіртектерді немесе өзге де құжаттарды тарату (өткізу) бойынша лотерея таратушының (агенттің) міндеттемесінің болуы жөніндегі талапты сақтамауы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тапсырма шартының талаптарында лотерея таратушының (агенттің) лотереяға қатысушыларға ұтыстарды төлеу жөніндегі міндеттемесінің болуы жөніндегі талапты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лотереяны өткізу шарттарын және лотереяға қатысушы сатып алған лотерея билетінің, түбіртектің немесе өзге де құжаттың негізінде ұтысты төлеу жөніндегі талаптарды сақтамауы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ұтқан лотерея қатысушысы туралы мәліметтерді, егер оның жазбаша келісімі алынбаса, жария етпеу жөніндегі талапты сақтамауы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Қазақстан Республикасының лотереялар және лотерея қызметі туралы заңнамасында көзделген тәртіппен ұйымдастырылатын және өткізілетін лотереялардан басқа, Қазақстан Республикасында өзге де лотереяларды ұйымдастыруға және өткізуге тыйым салу жөніндегі талаптарды сақтамауы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лотереялар түрінде құмар ойындарды және (немесе) бәс тігуді өткізуге жол бермеу жөніндегі талаптарды сақтамауы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лотерея өткізуден басқа кәсіпкерлік қызметтің өзге түрлерімен айналысуға тыйым салу туралы талапты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лотереяны таратушымен (агентпен), атап айтқанда жеке кәсіпкермен немесе лотерея билеттерін, түбіртектерді немесе өзге де құжаттарды сыйақы үшін таратуды (өткізуді), ұтыс лотерея билеттерін, түбіртектерді немесе өзге де құжаттарды тексеруді, сондай-ақ лотерея операторының атынан және оның есебінен ұтыстарды төлеуді жүзеге асыратын заңды тұлғамен тапсырма шартын жасасу жөніндегі талапты сақтамауы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лотерея терминалдары модельдері бақылау-касса машиналарының мемлекеттік тізіліміне енгізілген бақылау-касса машиналарымен жарақтандыру жөніндегі талаптарды сақтамауы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Қазақстан Республикасының аумағында лотерея ақпаратын өңдеу орталығының орналасуы бойынша талаптарды сақтамауы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лотерея ақпаратын өңдеу орталығына және лотерея есептілігі орталығына ақпаратты жоғалтудан, ұрлаудан, бұрмалаудан, қолдан жасаудан, рұқсат етілмеген қол жеткізуден және оны тарату, бұғаттау, жою, түрлендіру, көшіру жөніндегі іс-әрекеттерден және өзге де заңсыз іс-әрекеттерден қорғауды қамтамасыз ету жөніндегі талаптарды сақтамауы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лотерея жабдығына қойылатын талаптарды сақтамауы:</w:t>
            </w:r>
          </w:p>
          <w:p>
            <w:pPr>
              <w:spacing w:after="20"/>
              <w:ind w:left="20"/>
              <w:jc w:val="both"/>
            </w:pPr>
            <w:r>
              <w:rPr>
                <w:rFonts w:ascii="Times New Roman"/>
                <w:b w:val="false"/>
                <w:i w:val="false"/>
                <w:color w:val="000000"/>
                <w:sz w:val="20"/>
              </w:rPr>
              <w:t>
техникалық сипаттамалар жүлде қорын ұтыс ойыны кезінде ұтыстарды бөлудің кездейсоқтығын қамтамасыз етуі тиіс;</w:t>
            </w:r>
          </w:p>
          <w:p>
            <w:pPr>
              <w:spacing w:after="20"/>
              <w:ind w:left="20"/>
              <w:jc w:val="both"/>
            </w:pPr>
            <w:r>
              <w:rPr>
                <w:rFonts w:ascii="Times New Roman"/>
                <w:b w:val="false"/>
                <w:i w:val="false"/>
                <w:color w:val="000000"/>
                <w:sz w:val="20"/>
              </w:rPr>
              <w:t>
жүлде қорының ұтыс ойынын өткізу нәтижесін осындай ұтыс ойыны басталғанға дейін алдын ала анықтауға мүмкіндік беретін жасырын мүмкіндіктер және (немесе) рәсімдер мен алгоритмдер болмауға тиіс;</w:t>
            </w:r>
          </w:p>
          <w:p>
            <w:pPr>
              <w:spacing w:after="20"/>
              <w:ind w:left="20"/>
              <w:jc w:val="both"/>
            </w:pPr>
            <w:r>
              <w:rPr>
                <w:rFonts w:ascii="Times New Roman"/>
                <w:b w:val="false"/>
                <w:i w:val="false"/>
                <w:color w:val="000000"/>
                <w:sz w:val="20"/>
              </w:rPr>
              <w:t>
байланыс желісі бойынша лотерея терминалдарымен қосылмауға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мынадай мәліметтерді қамтитын лотереяны өткізу шарттарын әзірлеу және бекіту жөніндегі талаптарды сақтамауы:</w:t>
            </w:r>
          </w:p>
          <w:p>
            <w:pPr>
              <w:spacing w:after="20"/>
              <w:ind w:left="20"/>
              <w:jc w:val="both"/>
            </w:pPr>
            <w:r>
              <w:rPr>
                <w:rFonts w:ascii="Times New Roman"/>
                <w:b w:val="false"/>
                <w:i w:val="false"/>
                <w:color w:val="000000"/>
                <w:sz w:val="20"/>
              </w:rPr>
              <w:t>
1) лотереяның атауы;</w:t>
            </w:r>
          </w:p>
          <w:p>
            <w:pPr>
              <w:spacing w:after="20"/>
              <w:ind w:left="20"/>
              <w:jc w:val="both"/>
            </w:pPr>
            <w:r>
              <w:rPr>
                <w:rFonts w:ascii="Times New Roman"/>
                <w:b w:val="false"/>
                <w:i w:val="false"/>
                <w:color w:val="000000"/>
                <w:sz w:val="20"/>
              </w:rPr>
              <w:t>
2) лотерея өткізу тәсілінің, аумағының және технологиясының, сондай-ақ жүлде қорын қалыптастыру тәсілінің көрсету;</w:t>
            </w:r>
          </w:p>
          <w:p>
            <w:pPr>
              <w:spacing w:after="20"/>
              <w:ind w:left="20"/>
              <w:jc w:val="both"/>
            </w:pPr>
            <w:r>
              <w:rPr>
                <w:rFonts w:ascii="Times New Roman"/>
                <w:b w:val="false"/>
                <w:i w:val="false"/>
                <w:color w:val="000000"/>
                <w:sz w:val="20"/>
              </w:rPr>
              <w:t>
3) орналасқан жері, банктік деректемелері, бизнес сәйкестендіру нөмірі көрсетілген лотерея операторының атауы;</w:t>
            </w:r>
          </w:p>
          <w:p>
            <w:pPr>
              <w:spacing w:after="20"/>
              <w:ind w:left="20"/>
              <w:jc w:val="both"/>
            </w:pPr>
            <w:r>
              <w:rPr>
                <w:rFonts w:ascii="Times New Roman"/>
                <w:b w:val="false"/>
                <w:i w:val="false"/>
                <w:color w:val="000000"/>
                <w:sz w:val="20"/>
              </w:rPr>
              <w:t>
4) лотереяны өткізілетін мерзімдері;</w:t>
            </w:r>
          </w:p>
          <w:p>
            <w:pPr>
              <w:spacing w:after="20"/>
              <w:ind w:left="20"/>
              <w:jc w:val="both"/>
            </w:pPr>
            <w:r>
              <w:rPr>
                <w:rFonts w:ascii="Times New Roman"/>
                <w:b w:val="false"/>
                <w:i w:val="false"/>
                <w:color w:val="000000"/>
                <w:sz w:val="20"/>
              </w:rPr>
              <w:t>
5) лотерея тұжырымдамасының сипаттамасы;</w:t>
            </w:r>
          </w:p>
          <w:p>
            <w:pPr>
              <w:spacing w:after="20"/>
              <w:ind w:left="20"/>
              <w:jc w:val="both"/>
            </w:pPr>
            <w:r>
              <w:rPr>
                <w:rFonts w:ascii="Times New Roman"/>
                <w:b w:val="false"/>
                <w:i w:val="false"/>
                <w:color w:val="000000"/>
                <w:sz w:val="20"/>
              </w:rPr>
              <w:t>
6) лотереяның ұйымдастырушылық-технологиялық сипаттамасы;</w:t>
            </w:r>
          </w:p>
          <w:p>
            <w:pPr>
              <w:spacing w:after="20"/>
              <w:ind w:left="20"/>
              <w:jc w:val="both"/>
            </w:pPr>
            <w:r>
              <w:rPr>
                <w:rFonts w:ascii="Times New Roman"/>
                <w:b w:val="false"/>
                <w:i w:val="false"/>
                <w:color w:val="000000"/>
                <w:sz w:val="20"/>
              </w:rPr>
              <w:t>
7) лотереяға қатысушылардың құқықтары мен міндеттері;</w:t>
            </w:r>
          </w:p>
          <w:p>
            <w:pPr>
              <w:spacing w:after="20"/>
              <w:ind w:left="20"/>
              <w:jc w:val="both"/>
            </w:pPr>
            <w:r>
              <w:rPr>
                <w:rFonts w:ascii="Times New Roman"/>
                <w:b w:val="false"/>
                <w:i w:val="false"/>
                <w:color w:val="000000"/>
                <w:sz w:val="20"/>
              </w:rPr>
              <w:t>
8) ұтты деп танылған лотереяға қатысушыға ұтысты төлеу тәртібі мен мерзімдерін, сондай-ақ ұтыс шыққан лотерея билеттеріне, түбіртектерге немесе өзге де құжаттарға сараптама жүргізу мерзімдері</w:t>
            </w:r>
          </w:p>
          <w:p>
            <w:pPr>
              <w:spacing w:after="20"/>
              <w:ind w:left="20"/>
              <w:jc w:val="both"/>
            </w:pPr>
            <w:r>
              <w:rPr>
                <w:rFonts w:ascii="Times New Roman"/>
                <w:b w:val="false"/>
                <w:i w:val="false"/>
                <w:color w:val="000000"/>
                <w:sz w:val="20"/>
              </w:rPr>
              <w:t>
9) лотереяға қатысушыларды лотереяға қатысу қағидалары және жүлде қорын ұтысқа салу нәтижелері туралы хабардар ету тәртібі;</w:t>
            </w:r>
          </w:p>
          <w:p>
            <w:pPr>
              <w:spacing w:after="20"/>
              <w:ind w:left="20"/>
              <w:jc w:val="both"/>
            </w:pPr>
            <w:r>
              <w:rPr>
                <w:rFonts w:ascii="Times New Roman"/>
                <w:b w:val="false"/>
                <w:i w:val="false"/>
                <w:color w:val="000000"/>
                <w:sz w:val="20"/>
              </w:rPr>
              <w:t>
10) лотерея билеттерін, түбіртіктерді немесе өзге де құжаттарды тарату (өткізу) тәртібі;</w:t>
            </w:r>
          </w:p>
          <w:p>
            <w:pPr>
              <w:spacing w:after="20"/>
              <w:ind w:left="20"/>
              <w:jc w:val="both"/>
            </w:pPr>
            <w:r>
              <w:rPr>
                <w:rFonts w:ascii="Times New Roman"/>
                <w:b w:val="false"/>
                <w:i w:val="false"/>
                <w:color w:val="000000"/>
                <w:sz w:val="20"/>
              </w:rPr>
              <w:t>
11) лотерея билетінің, түбіртектің немесе өзге де құжаттың бағасы;</w:t>
            </w:r>
          </w:p>
          <w:p>
            <w:pPr>
              <w:spacing w:after="20"/>
              <w:ind w:left="20"/>
              <w:jc w:val="both"/>
            </w:pPr>
            <w:r>
              <w:rPr>
                <w:rFonts w:ascii="Times New Roman"/>
                <w:b w:val="false"/>
                <w:i w:val="false"/>
                <w:color w:val="000000"/>
                <w:sz w:val="20"/>
              </w:rPr>
              <w:t>
12) ұтыстың мөлшері мен нысанын (ақшалай немесе заттай);</w:t>
            </w:r>
          </w:p>
          <w:p>
            <w:pPr>
              <w:spacing w:after="20"/>
              <w:ind w:left="20"/>
              <w:jc w:val="both"/>
            </w:pPr>
            <w:r>
              <w:rPr>
                <w:rFonts w:ascii="Times New Roman"/>
                <w:b w:val="false"/>
                <w:i w:val="false"/>
                <w:color w:val="000000"/>
                <w:sz w:val="20"/>
              </w:rPr>
              <w:t>
13) жүлде қорының жоспарланып отырған мөлшері;</w:t>
            </w:r>
          </w:p>
          <w:p>
            <w:pPr>
              <w:spacing w:after="20"/>
              <w:ind w:left="20"/>
              <w:jc w:val="both"/>
            </w:pPr>
            <w:r>
              <w:rPr>
                <w:rFonts w:ascii="Times New Roman"/>
                <w:b w:val="false"/>
                <w:i w:val="false"/>
                <w:color w:val="000000"/>
                <w:sz w:val="20"/>
              </w:rPr>
              <w:t>
14) жүлде қорының ұтыс ойынын өткізу тәртібін, ұтыстарды айқындау алгоритмін, бас жүлдені (бар болса) қалыптастыру мен ұтысқа салу қағидалары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лотерея операторы бекіткен лотереяны өткізу шарттарының түпнұсқа данасын Лотерея және лотерея қызметі саласындағы уәкілетті органға оны өткізу басталғанға дейін күнтізбелік он күннен кешіктірмей жіберу және лотереяны өткізу шарттарын оны өткізу басталғанға дейін күнтізбелік бір күннен кешіктірмей өзінің интернет-ресурсында орналастыру бойынша міндеттемені сақтамауы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сатылған лотерея билеттерінен, түбіртектерден немесе нақты лотереяның өзге де құжаттарынан түскен түсімнің кемінде елу пайызы мөлшерінде не өз қаражаты есебінен жүлде қорын қалыптастыруды қамтамасыз ету жөніндегі міндеттемелерді сақтамауы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тираждық лотереяның жүлде қорын оны ойнату басталғанға дейін қалыптастыру жөніндегі талапты сақтамауы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лотереяға қатысушылар алдындағы ұтыстарды төлеу жөніндегі, сондай-ақ жүлде қорының қаражатын ұтыстарды төлеуден өзгеше пайдалану жөніндегі міндеттемелерді қоспағанда, жүлде қорына қандай да бір міндеттемелермен ауыртпалық салуға тыйым салу жөніндегі талапты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жүлде қорын (бас жүлдені) бірнеше тираж бойына жинақтап қалыптастыру қағидаты өткізу шарттарында пайдаланылатын тираждық лотереяны қоспағанда, тираждық лотереяның жүлде қоры оған қатысы бар тираж шеңберінде толығымен ұтысқа салу бойынша талаптарды сақтамауы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лотерея өткізу шарттарына сәйкес ұтқан деп танылған лотереяға қатысушыға лотерея өткізу шарттарына сәйкес ұтыстарды мөлшері мен нысанында (ақшалай немесе заттай) төлеу жөніндегі талапты сақтамауы (ұтыстарды төлеу тиісті таралым өткізілгеннен кейін отыз күн мерзімнен кешіктірілмей басталуы және нәтижелері жарияланған сәттен бастап кемінде алты ай жалғасуы тиіс (жүлде қорының ұтыс ойыны)).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лотерея өткізу шарттарында белгіленген мерзімде талап етілмеген ұтыстарды тиісті тираждың (жүлде қорының ұтыс ойынының) нәтижелері жарияланған кезден бастап үш жыл ішінде сақтау жөніндегі талапты сақтамауы, содан кейін олар салық емес төлем түрінде бюджет кірісіне есептеледі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нысанды қоспағанда, лотерея билеттеріндегі, түбіртектердегі немесе өзге де құжаттардағы төмендегідей міндетті ақпараттың мазмұны бойынша талапты сақтамау:</w:t>
            </w:r>
          </w:p>
          <w:p>
            <w:pPr>
              <w:spacing w:after="20"/>
              <w:ind w:left="20"/>
              <w:jc w:val="both"/>
            </w:pPr>
            <w:r>
              <w:rPr>
                <w:rFonts w:ascii="Times New Roman"/>
                <w:b w:val="false"/>
                <w:i w:val="false"/>
                <w:color w:val="000000"/>
                <w:sz w:val="20"/>
              </w:rPr>
              <w:t>
1) лотереяның атауы;</w:t>
            </w:r>
          </w:p>
          <w:p>
            <w:pPr>
              <w:spacing w:after="20"/>
              <w:ind w:left="20"/>
              <w:jc w:val="both"/>
            </w:pPr>
            <w:r>
              <w:rPr>
                <w:rFonts w:ascii="Times New Roman"/>
                <w:b w:val="false"/>
                <w:i w:val="false"/>
                <w:color w:val="000000"/>
                <w:sz w:val="20"/>
              </w:rPr>
              <w:t>
2) лотерея операторының атауы, орналасқан жері, телефон нөмірлері және интернет-ресурсы;</w:t>
            </w:r>
          </w:p>
          <w:p>
            <w:pPr>
              <w:spacing w:after="20"/>
              <w:ind w:left="20"/>
              <w:jc w:val="both"/>
            </w:pPr>
            <w:r>
              <w:rPr>
                <w:rFonts w:ascii="Times New Roman"/>
                <w:b w:val="false"/>
                <w:i w:val="false"/>
                <w:color w:val="000000"/>
                <w:sz w:val="20"/>
              </w:rPr>
              <w:t>
3) тираждың нөмірі немесе атауы (тираждық лотереялар үшін);</w:t>
            </w:r>
          </w:p>
          <w:p>
            <w:pPr>
              <w:spacing w:after="20"/>
              <w:ind w:left="20"/>
              <w:jc w:val="both"/>
            </w:pPr>
            <w:r>
              <w:rPr>
                <w:rFonts w:ascii="Times New Roman"/>
                <w:b w:val="false"/>
                <w:i w:val="false"/>
                <w:color w:val="000000"/>
                <w:sz w:val="20"/>
              </w:rPr>
              <w:t>
4) лотерея билетінің, түбіртектің немесе өзге де құжаттың нөмірі;</w:t>
            </w:r>
          </w:p>
          <w:p>
            <w:pPr>
              <w:spacing w:after="20"/>
              <w:ind w:left="20"/>
              <w:jc w:val="both"/>
            </w:pPr>
            <w:r>
              <w:rPr>
                <w:rFonts w:ascii="Times New Roman"/>
                <w:b w:val="false"/>
                <w:i w:val="false"/>
                <w:color w:val="000000"/>
                <w:sz w:val="20"/>
              </w:rPr>
              <w:t>
5) лотерея билетінің, түбіртектің немесе өзге де құжаттың бағасы;</w:t>
            </w:r>
          </w:p>
          <w:p>
            <w:pPr>
              <w:spacing w:after="20"/>
              <w:ind w:left="20"/>
              <w:jc w:val="both"/>
            </w:pPr>
            <w:r>
              <w:rPr>
                <w:rFonts w:ascii="Times New Roman"/>
                <w:b w:val="false"/>
                <w:i w:val="false"/>
                <w:color w:val="000000"/>
                <w:sz w:val="20"/>
              </w:rPr>
              <w:t>
6) жүлде қорының ұтыс ойынын өткізу күні мен орны (тираждық лотерея үшін);</w:t>
            </w:r>
          </w:p>
          <w:p>
            <w:pPr>
              <w:spacing w:after="20"/>
              <w:ind w:left="20"/>
              <w:jc w:val="both"/>
            </w:pPr>
            <w:r>
              <w:rPr>
                <w:rFonts w:ascii="Times New Roman"/>
                <w:b w:val="false"/>
                <w:i w:val="false"/>
                <w:color w:val="000000"/>
                <w:sz w:val="20"/>
              </w:rPr>
              <w:t>
7) ұтысты алу орны мен мерзімі туралы деректер;</w:t>
            </w:r>
          </w:p>
          <w:p>
            <w:pPr>
              <w:spacing w:after="20"/>
              <w:ind w:left="20"/>
              <w:jc w:val="both"/>
            </w:pPr>
            <w:r>
              <w:rPr>
                <w:rFonts w:ascii="Times New Roman"/>
                <w:b w:val="false"/>
                <w:i w:val="false"/>
                <w:color w:val="000000"/>
                <w:sz w:val="20"/>
              </w:rPr>
              <w:t>
8) жүлде қорының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лотерея билеттерінің, түбіртектердің немесе өзге де құжаттардың электрондық нысанына міндетті ақпараттың мазмұны бойынша талапты сақтамауы:</w:t>
            </w:r>
          </w:p>
          <w:p>
            <w:pPr>
              <w:spacing w:after="20"/>
              <w:ind w:left="20"/>
              <w:jc w:val="both"/>
            </w:pPr>
            <w:r>
              <w:rPr>
                <w:rFonts w:ascii="Times New Roman"/>
                <w:b w:val="false"/>
                <w:i w:val="false"/>
                <w:color w:val="000000"/>
                <w:sz w:val="20"/>
              </w:rPr>
              <w:t>
1) лотерея операторының атауы;</w:t>
            </w:r>
          </w:p>
          <w:p>
            <w:pPr>
              <w:spacing w:after="20"/>
              <w:ind w:left="20"/>
              <w:jc w:val="both"/>
            </w:pPr>
            <w:r>
              <w:rPr>
                <w:rFonts w:ascii="Times New Roman"/>
                <w:b w:val="false"/>
                <w:i w:val="false"/>
                <w:color w:val="000000"/>
                <w:sz w:val="20"/>
              </w:rPr>
              <w:t>
2) лотерея билетінің, түбіртектің немесе өзге де құжаттың нөмірі;</w:t>
            </w:r>
          </w:p>
          <w:p>
            <w:pPr>
              <w:spacing w:after="20"/>
              <w:ind w:left="20"/>
              <w:jc w:val="both"/>
            </w:pPr>
            <w:r>
              <w:rPr>
                <w:rFonts w:ascii="Times New Roman"/>
                <w:b w:val="false"/>
                <w:i w:val="false"/>
                <w:color w:val="000000"/>
                <w:sz w:val="20"/>
              </w:rPr>
              <w:t>
3) лотерея билетінің, түбіртектің немесе өзге де құжаттың бағасы;</w:t>
            </w:r>
          </w:p>
          <w:p>
            <w:pPr>
              <w:spacing w:after="20"/>
              <w:ind w:left="20"/>
              <w:jc w:val="both"/>
            </w:pPr>
            <w:r>
              <w:rPr>
                <w:rFonts w:ascii="Times New Roman"/>
                <w:b w:val="false"/>
                <w:i w:val="false"/>
                <w:color w:val="000000"/>
                <w:sz w:val="20"/>
              </w:rPr>
              <w:t>
4) лотерея операторының орналасқан жері, телефон нөмірлері және интернет-ресурсы, лотереяның атауы, тираждың нөмірі немесе атауы (тираждық лотереялар үшін), жүлде қорының ұтыс ойынын өткізу күні мен орны (тираждық лотерея үшін), ұтысты алу орны мен мерзімдері, жүлде қорының мөлшері туралы кеңейтілген ақпаратқа қол жеткізуге сілтеме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лотерея билеттерінде, түбіртектерде немесе өзге де құжаттарда қамтылған ақпараттың орфография және түпнұсқалық аударма нормаларының талаптарын сақтамауы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тираждық лотереяның жүлде қорын кездейсоқ түрде ұтқан лотерея комбинациясын генерациялау жолымен лотерея жабдығымен ұтыс ойынын жүзеге асыру бойынша талапты сақтамауы, оны лотерея қатысушысы өз ұтысын анықтау мақсатында осы ұтыс ойынындағы лотерея комбинациясымен салыстыруға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тираждық лотереяның жүлде қорының ұтыс ойынын өткізу кезінде тираждық комиссия құру жөніндегі талапты сақтамауы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ұтыстарды телеарнада тікелей эфирде немесе интернет желісінде айқындау рәсімін көрсете отырып, тираждық лотереяның жүлде қорының ұтыс ойынын трансляциялауды қамтамасыз ету жөніндегі талапты сақтамауы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Қазақстан Республикасының бүкіл аумағында таратылатын мерзімді баспа басылымдарында үш жұмыс күні ішінде жүлде қорының және лотерея билеттері, түбіртектер немесе тираждық лотереяның өзге де құжаттары бойынша ұтыстардың әрбір ұтыс ойынының нәтижелерін жариялау жөніндегі талапты сақтамауы немесе лотерея операторының интернет-ресурсында көрсетілген ұтыс ойыны өткізілген кезден бастап он екі сағат ішінде орналастыруы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тираждық лотереяны өткізу тоқтатылған жағдайда, бас жүлдені қоса алғанда, жүлде қорын толық ойнату бойынша талаптарды сақтамауы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дене шынықтыруды және спортты дамытуға бағытталған бюджеттен тыс ақша қаражатын бөлу жөніндегі қызметті жүзеге асыратын бірыңғай операторға өткізілген лотерея билеттерінен, түбіртектерден немесе өзге де құжаттардан, тіркелген лотерея мөлшерлемелерінен түскен түсім мен жүлде қоры арасындағы айырманың кемінде он пайызын спортты дамытуға тоқсан сайын бағыттау міндетін сақтамауы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тіркеу, мәліметтер мен құжаттарды сақтау, құжаттарды қорғау бөлігінде қылмыстық жолмен алынған кірістерді заңдастыруға (жылыстатуға) және терроризмді қаржыландыруға қарсы іс-қимыл жөніндегі шараларды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жөніндегі уәкілетті органға қаржылық мониторингке жататын ақшамен және (немесе) мүлікпен жасалатын операциялар (шекті сомаға тең немесе одан асатын операция) туралы ақпаратты ұсынбау (жасалған күннен кейінгі жұмыс күнінен кешіктірмей)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жөніндегі уәкілетті органға қылмыстық кірістерді заңдастыру (жылыстату) және терроризмді қаржыландыру типологияларына, схемалары мен тәсілдеріне сәйкес келетін сипаттамалары бар күдікті операциялар мен клиенттің операциялары туралы ақпаратты ұсынбау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жөніндегі уәкілетті органға күдікті операциялар туралы ақпаратты ұсынбау (операция күдікті деп танылған кезде мұндай операция жүргізілгенге дейін қаржы мониторингі жөніндегі уәкілетті органға дереу хабарлау)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жөніндегі уәкілетті органға күдікті операциялар туралы ақпаратты ұсынбау (олар жүргізілгенге дейін күдікті деп танылмаған операциялар күдікті деп танылғаннан кейін бақылау субъектісінің ішкі бақылау қағидаларына сәйкес жиырма төрт сағаттан кешіктірілмей ұсынылады)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жасау мақсатында ішкі бақылау қағидаларының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бақылау қағидаларында мынадай бағдарламалардың болмауы:</w:t>
            </w:r>
          </w:p>
          <w:p>
            <w:pPr>
              <w:spacing w:after="20"/>
              <w:ind w:left="20"/>
              <w:jc w:val="both"/>
            </w:pPr>
            <w:r>
              <w:rPr>
                <w:rFonts w:ascii="Times New Roman"/>
                <w:b w:val="false"/>
                <w:i w:val="false"/>
                <w:color w:val="000000"/>
                <w:sz w:val="20"/>
              </w:rPr>
              <w:t>
қаржы мониторингі субъектісінің басшы қызметкерлерінің немесе қаржы мониторингі субъектісінің тиісті құрылымдық бөлімше басшысының деңгейінен төмен емес өзге де басшыларының арасынан, ішкі бақылау қағидаларының іске асырылуына және сақталуына жауапты адамды тағайындау туралы талапты, сондай-ақ қаржы мониторингі субъектілерінің ішкі бақылау қағидаларының іске асырылуына және сақталуына жауапты қызметкерлеріне қойылатын өзге де талаптарды, оның ішінде мінсіз іскерлік беделінің болуы туралы талапты қоса алғанда, ішкі бақылауды ұйымдастыру бағдарламасы;</w:t>
            </w:r>
          </w:p>
          <w:p>
            <w:pPr>
              <w:spacing w:after="20"/>
              <w:ind w:left="20"/>
              <w:jc w:val="both"/>
            </w:pPr>
            <w:r>
              <w:rPr>
                <w:rFonts w:ascii="Times New Roman"/>
                <w:b w:val="false"/>
                <w:i w:val="false"/>
                <w:color w:val="000000"/>
                <w:sz w:val="20"/>
              </w:rPr>
              <w:t>
технологиялық жетістіктерді пайдалану тәуекелін қоса алғанда, клиенттердің тәуекелдері мен қызметтерді қылмыстық мақсаттарда пайдалану тәуекелдерін ескеретін тәуекелдерді басқару бағдарламасы;</w:t>
            </w:r>
          </w:p>
          <w:p>
            <w:pPr>
              <w:spacing w:after="20"/>
              <w:ind w:left="20"/>
              <w:jc w:val="both"/>
            </w:pPr>
            <w:r>
              <w:rPr>
                <w:rFonts w:ascii="Times New Roman"/>
                <w:b w:val="false"/>
                <w:i w:val="false"/>
                <w:color w:val="000000"/>
                <w:sz w:val="20"/>
              </w:rPr>
              <w:t>
клиенттерді сәйкестендіру бағдарламасы; клиенттердің күрделі, ерекше ірі және басқа да ерекше операцияларын зерделеуді қоса алғанда, клиенттердің операцияларын мониторингтеу және зерделеу бағдарламасы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субъектілерін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саласында даярлау және оқыту бағдарламасы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Клиентке іскерлік қатынастар орнатудан және ақшамен операциялар жүргізуден бас тарту және (немесе) іскерлік қатынастар орнатудан және қаржы мониторингі жөніндегі уәкілетті органға ақшамен және (немесе) мүлікпен операциялар жүргізуден бас тарту туралы ақпарат ұсынудан бас тарту жөніндегі міндеттерді орындамауы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Ақшамен және (немесе) мүлікпен операцияларды мұздату жөнінде шаралар қолданбау және (немесе) қаржы мониторингі жөніндегі уәкілетті органға ақшамен және (немесе) мүлікпен операцияларды мұздату жөніндегі шаралар туралы ақпарат ұсынбау фактілерінің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Мемлекеттік органдар мен ұйымдар ұсынатын мәліметтерді талдау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лотереялар және лотерея қызметі туралы заңнамасын бұзу фактілері бар мемлекеттік органдардан алынған мәліметтердің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Расталған шағымдар мен өтініштердің болуы және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фактісін растайтын құжаттарды қоса бере отырып, құқықтары бұзылған жеке және заңды тұлғалардан бір шағымның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фактісін растайтын құжаттарды қоса бере отырып, құқықтары бұзылған жеке және заңды тұлғалардан 2 (екі) және одан да көп шағымдардың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22 желтоқсандағы</w:t>
            </w:r>
            <w:r>
              <w:br/>
            </w:r>
            <w:r>
              <w:rPr>
                <w:rFonts w:ascii="Times New Roman"/>
                <w:b w:val="false"/>
                <w:i w:val="false"/>
                <w:color w:val="000000"/>
                <w:sz w:val="20"/>
              </w:rPr>
              <w:t xml:space="preserve">№ 136 мен </w:t>
            </w:r>
            <w:r>
              <w:br/>
            </w: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2022 жылғы 22 желтоқсандағы</w:t>
            </w:r>
            <w:r>
              <w:br/>
            </w:r>
            <w:r>
              <w:rPr>
                <w:rFonts w:ascii="Times New Roman"/>
                <w:b w:val="false"/>
                <w:i w:val="false"/>
                <w:color w:val="000000"/>
                <w:sz w:val="20"/>
              </w:rPr>
              <w:t>№ 380 бірлескен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Мәдениет және спорт </w:t>
            </w:r>
            <w:r>
              <w:br/>
            </w:r>
            <w:r>
              <w:rPr>
                <w:rFonts w:ascii="Times New Roman"/>
                <w:b w:val="false"/>
                <w:i w:val="false"/>
                <w:color w:val="000000"/>
                <w:sz w:val="20"/>
              </w:rPr>
              <w:t xml:space="preserve">министрінің </w:t>
            </w:r>
            <w:r>
              <w:br/>
            </w:r>
            <w:r>
              <w:rPr>
                <w:rFonts w:ascii="Times New Roman"/>
                <w:b w:val="false"/>
                <w:i w:val="false"/>
                <w:color w:val="000000"/>
                <w:sz w:val="20"/>
              </w:rPr>
              <w:t xml:space="preserve">2016 жылғы 29 маусымдағы </w:t>
            </w:r>
            <w:r>
              <w:br/>
            </w:r>
            <w:r>
              <w:rPr>
                <w:rFonts w:ascii="Times New Roman"/>
                <w:b w:val="false"/>
                <w:i w:val="false"/>
                <w:color w:val="000000"/>
                <w:sz w:val="20"/>
              </w:rPr>
              <w:t xml:space="preserve">№ 195 және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ұлттық экономика</w:t>
            </w:r>
            <w:r>
              <w:br/>
            </w:r>
            <w:r>
              <w:rPr>
                <w:rFonts w:ascii="Times New Roman"/>
                <w:b w:val="false"/>
                <w:i w:val="false"/>
                <w:color w:val="000000"/>
                <w:sz w:val="20"/>
              </w:rPr>
              <w:t xml:space="preserve">министрінің </w:t>
            </w:r>
            <w:r>
              <w:br/>
            </w:r>
            <w:r>
              <w:rPr>
                <w:rFonts w:ascii="Times New Roman"/>
                <w:b w:val="false"/>
                <w:i w:val="false"/>
                <w:color w:val="000000"/>
                <w:sz w:val="20"/>
              </w:rPr>
              <w:t>2016 жылғы 18 шілдедегі</w:t>
            </w:r>
            <w:r>
              <w:br/>
            </w:r>
            <w:r>
              <w:rPr>
                <w:rFonts w:ascii="Times New Roman"/>
                <w:b w:val="false"/>
                <w:i w:val="false"/>
                <w:color w:val="000000"/>
                <w:sz w:val="20"/>
              </w:rPr>
              <w:t>№ 323 бірлескен бұйрығына</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Лотерея операторына қатысты Қазақстан Республикасының лотереялар және лотерея қызметі туралы заңнамасын сақтаудың тексеру парағы (Қазақстан Республикасы Кәсіпкерлік кодексінің </w:t>
      </w:r>
      <w:r>
        <w:rPr>
          <w:rFonts w:ascii="Times New Roman"/>
          <w:b/>
          <w:i w:val="false"/>
          <w:color w:val="000000"/>
        </w:rPr>
        <w:t>138-бабына</w:t>
      </w:r>
      <w:r>
        <w:rPr>
          <w:rFonts w:ascii="Times New Roman"/>
          <w:b/>
          <w:i w:val="false"/>
          <w:color w:val="000000"/>
        </w:rPr>
        <w:t xml:space="preserve"> сәйкес)</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Тексеруді/ бақылау және қадағалау субъектісіне (объектісіне) бару арқылы </w:t>
      </w:r>
    </w:p>
    <w:p>
      <w:pPr>
        <w:spacing w:after="0"/>
        <w:ind w:left="0"/>
        <w:jc w:val="both"/>
      </w:pPr>
      <w:r>
        <w:rPr>
          <w:rFonts w:ascii="Times New Roman"/>
          <w:b w:val="false"/>
          <w:i w:val="false"/>
          <w:color w:val="000000"/>
          <w:sz w:val="28"/>
        </w:rPr>
        <w:t xml:space="preserve">
      профилактикалық бақылауды тағайындау туралы акт 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және қадағалау субъектісінің (объектісінің) атауы_____________________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бизнес-сәйкестендіру нөмірі </w:t>
      </w:r>
    </w:p>
    <w:p>
      <w:pPr>
        <w:spacing w:after="0"/>
        <w:ind w:left="0"/>
        <w:jc w:val="both"/>
      </w:pPr>
      <w:r>
        <w:rPr>
          <w:rFonts w:ascii="Times New Roman"/>
          <w:b w:val="false"/>
          <w:i w:val="false"/>
          <w:color w:val="000000"/>
          <w:sz w:val="28"/>
        </w:rPr>
        <w:t xml:space="preserve">
      Орналасқан жерінің мекенжайы 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тапсырма шартының талаптарында тек қана он сегіз жасқа толған жеке тұлғалар арасында лотерея билеттерін, түбіртектерді немесе өзге де құжаттарды тарату (өткізу) бойынша лотерея таратушының (агенттің) міндеттемесінің болуы жөніндегі талапты сақтамауы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тапсырма шартының талаптарында лотерея таратушының (агенттің) лотереяға қатысушыларға ұтыстарды төлеу жөніндегі міндеттемесінің болуы жөніндегі талапты сақтауы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лотереяны өткізу шарттарын және лотереяға қатысушы сатып алған лотерея билетінің, түбіртектің немесе өзге де құжаттың негізінде ұтысты төлеу жөніндегі талаптарды сақтамауы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ұтқан лотерея қатысушысы туралы мәліметтерді, егер оның жазбаша келісімі алынбаса, жария етпеу жөніндегі талапты сақтамауы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Қазақстан Республикасының лотереялар және лотерея қызметі туралы заңнамасында көзделген тәртіппен ұйымдастырылатын және өткізілетін лотереялардан басқа, Қазақстан Республикасында өзге де лотереяларды ұйымдастыруға және өткізуге тыйым салу жөніндегі талаптарды сақтамауы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лотереялар түрінде құмар ойындарды және (немесе) бәс тігуді өткізуге жол бермеу жөніндегі талаптарды сақтамауы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лотерея өткізуден басқа кәсіпкерлік қызметтің өзге түрлерімен айналысуға тыйым салу туралы талапты сақтауы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лотереяны таратушымен (агентпен), атап айтқанда жеке кәсіпкермен немесе лотерея билеттерін, түбіртектерді немесе өзге де құжаттарды сыйақы үшін таратуды (өткізуді), ұтыс лотерея билеттерін, түбіртектерді немесе өзге де құжаттарды тексеруді, сондай-ақ лотерея операторының атынан және оның есебінен ұтыстарды төлеуді жүзеге асыратын заңды тұлғамен тапсырма шартын жасасу жөніндегі талапты сақтамауы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лотерея терминалдары модельдері бақылау-касса машиналарының мемлекеттік тізіліміне енгізілген бақылау-касса машиналарымен жарақтандыру жөніндегі талаптарды сақтамауы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Қазақстан Республикасының аумағында лотерея ақпаратын өңдеу орталығының орналасуы бойынша талаптарды сақтамауы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лотерея ақпаратын өңдеу орталығына және лотерея есептілігі орталығына ақпаратты жоғалтудан, ұрлаудан, бұрмалаудан, қолдан жасаудан, рұқсат етілмеген қол жеткізуден және оны тарату, бұғаттау, жою, түрлендіру, көшіру жөніндегі іс-әрекеттерден және өзге де заңсыз іс-әрекеттерден қорғауды қамтамасыз ету жөніндегі талаптарды сақтамауы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лотерея жабдығына қойылатын талаптарды сақтамауы:</w:t>
            </w:r>
          </w:p>
          <w:p>
            <w:pPr>
              <w:spacing w:after="20"/>
              <w:ind w:left="20"/>
              <w:jc w:val="both"/>
            </w:pPr>
            <w:r>
              <w:rPr>
                <w:rFonts w:ascii="Times New Roman"/>
                <w:b w:val="false"/>
                <w:i w:val="false"/>
                <w:color w:val="000000"/>
                <w:sz w:val="20"/>
              </w:rPr>
              <w:t>
техникалық сипаттамалар жүлде қорын ұтыс ойыны кезінде ұтыстарды бөлудің кездейсоқтығын қамтамасыз етуі тиіс;</w:t>
            </w:r>
          </w:p>
          <w:p>
            <w:pPr>
              <w:spacing w:after="20"/>
              <w:ind w:left="20"/>
              <w:jc w:val="both"/>
            </w:pPr>
            <w:r>
              <w:rPr>
                <w:rFonts w:ascii="Times New Roman"/>
                <w:b w:val="false"/>
                <w:i w:val="false"/>
                <w:color w:val="000000"/>
                <w:sz w:val="20"/>
              </w:rPr>
              <w:t>
жүлде қорының ұтыс ойынын өткізу нәтижесін осындай ұтыс ойыны басталғанға дейін алдын ала анықтауға мүмкіндік беретін жасырын мүмкіндіктер және (немесе) рәсімдер мен алгоритмдер болмауға тиіс;</w:t>
            </w:r>
          </w:p>
          <w:p>
            <w:pPr>
              <w:spacing w:after="20"/>
              <w:ind w:left="20"/>
              <w:jc w:val="both"/>
            </w:pPr>
            <w:r>
              <w:rPr>
                <w:rFonts w:ascii="Times New Roman"/>
                <w:b w:val="false"/>
                <w:i w:val="false"/>
                <w:color w:val="000000"/>
                <w:sz w:val="20"/>
              </w:rPr>
              <w:t>
байланыс желісі бойынша лотерея терминалдарымен қосылмауға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мынадай мәліметтерді қамтитын лотереяны өткізу шарттарын әзірлеу және бекіту жөніндегі талаптарды сақтамауы:</w:t>
            </w:r>
          </w:p>
          <w:p>
            <w:pPr>
              <w:spacing w:after="20"/>
              <w:ind w:left="20"/>
              <w:jc w:val="both"/>
            </w:pPr>
            <w:r>
              <w:rPr>
                <w:rFonts w:ascii="Times New Roman"/>
                <w:b w:val="false"/>
                <w:i w:val="false"/>
                <w:color w:val="000000"/>
                <w:sz w:val="20"/>
              </w:rPr>
              <w:t>
1) лотереяның атауы;</w:t>
            </w:r>
          </w:p>
          <w:p>
            <w:pPr>
              <w:spacing w:after="20"/>
              <w:ind w:left="20"/>
              <w:jc w:val="both"/>
            </w:pPr>
            <w:r>
              <w:rPr>
                <w:rFonts w:ascii="Times New Roman"/>
                <w:b w:val="false"/>
                <w:i w:val="false"/>
                <w:color w:val="000000"/>
                <w:sz w:val="20"/>
              </w:rPr>
              <w:t>
2) лотерея өткізу тәсілінің, аумағының және технологиясының, сондай-ақ жүлде қорын қалыптастыру тәсілінің көрсету;</w:t>
            </w:r>
          </w:p>
          <w:p>
            <w:pPr>
              <w:spacing w:after="20"/>
              <w:ind w:left="20"/>
              <w:jc w:val="both"/>
            </w:pPr>
            <w:r>
              <w:rPr>
                <w:rFonts w:ascii="Times New Roman"/>
                <w:b w:val="false"/>
                <w:i w:val="false"/>
                <w:color w:val="000000"/>
                <w:sz w:val="20"/>
              </w:rPr>
              <w:t>
3) орналасқан жері, банктік деректемелері, бизнес сәйкестендіру нөмірі көрсетілген лотерея операторының атауы;</w:t>
            </w:r>
          </w:p>
          <w:p>
            <w:pPr>
              <w:spacing w:after="20"/>
              <w:ind w:left="20"/>
              <w:jc w:val="both"/>
            </w:pPr>
            <w:r>
              <w:rPr>
                <w:rFonts w:ascii="Times New Roman"/>
                <w:b w:val="false"/>
                <w:i w:val="false"/>
                <w:color w:val="000000"/>
                <w:sz w:val="20"/>
              </w:rPr>
              <w:t>
4) лотереяны өткізілетін мерзімдері;</w:t>
            </w:r>
          </w:p>
          <w:p>
            <w:pPr>
              <w:spacing w:after="20"/>
              <w:ind w:left="20"/>
              <w:jc w:val="both"/>
            </w:pPr>
            <w:r>
              <w:rPr>
                <w:rFonts w:ascii="Times New Roman"/>
                <w:b w:val="false"/>
                <w:i w:val="false"/>
                <w:color w:val="000000"/>
                <w:sz w:val="20"/>
              </w:rPr>
              <w:t>
5) лотерея тұжырымдамасының сипаттамасы;</w:t>
            </w:r>
          </w:p>
          <w:p>
            <w:pPr>
              <w:spacing w:after="20"/>
              <w:ind w:left="20"/>
              <w:jc w:val="both"/>
            </w:pPr>
            <w:r>
              <w:rPr>
                <w:rFonts w:ascii="Times New Roman"/>
                <w:b w:val="false"/>
                <w:i w:val="false"/>
                <w:color w:val="000000"/>
                <w:sz w:val="20"/>
              </w:rPr>
              <w:t>
6) лотереяның ұйымдастырушылық-технологиялық сипаттамасы;</w:t>
            </w:r>
          </w:p>
          <w:p>
            <w:pPr>
              <w:spacing w:after="20"/>
              <w:ind w:left="20"/>
              <w:jc w:val="both"/>
            </w:pPr>
            <w:r>
              <w:rPr>
                <w:rFonts w:ascii="Times New Roman"/>
                <w:b w:val="false"/>
                <w:i w:val="false"/>
                <w:color w:val="000000"/>
                <w:sz w:val="20"/>
              </w:rPr>
              <w:t>
7) лотереяға қатысушылардың құқықтары мен міндеттері;</w:t>
            </w:r>
          </w:p>
          <w:p>
            <w:pPr>
              <w:spacing w:after="20"/>
              <w:ind w:left="20"/>
              <w:jc w:val="both"/>
            </w:pPr>
            <w:r>
              <w:rPr>
                <w:rFonts w:ascii="Times New Roman"/>
                <w:b w:val="false"/>
                <w:i w:val="false"/>
                <w:color w:val="000000"/>
                <w:sz w:val="20"/>
              </w:rPr>
              <w:t>
8) ұтты деп танылған лотереяға қатысушыға ұтысты төлеу тәртібі мен мерзімдерін, сондай-ақ ұтыс шыққан лотерея билеттеріне, түбіртектерге немесе өзге де құжаттарға сараптама жүргізу мерзімдері</w:t>
            </w:r>
          </w:p>
          <w:p>
            <w:pPr>
              <w:spacing w:after="20"/>
              <w:ind w:left="20"/>
              <w:jc w:val="both"/>
            </w:pPr>
            <w:r>
              <w:rPr>
                <w:rFonts w:ascii="Times New Roman"/>
                <w:b w:val="false"/>
                <w:i w:val="false"/>
                <w:color w:val="000000"/>
                <w:sz w:val="20"/>
              </w:rPr>
              <w:t>
9) лотереяға қатысушыларды лотереяға қатысу қағидалары және жүлде қорын ұтысқа салу нәтижелері туралы хабардар ету тәртібі;</w:t>
            </w:r>
          </w:p>
          <w:p>
            <w:pPr>
              <w:spacing w:after="20"/>
              <w:ind w:left="20"/>
              <w:jc w:val="both"/>
            </w:pPr>
            <w:r>
              <w:rPr>
                <w:rFonts w:ascii="Times New Roman"/>
                <w:b w:val="false"/>
                <w:i w:val="false"/>
                <w:color w:val="000000"/>
                <w:sz w:val="20"/>
              </w:rPr>
              <w:t>
10) лотерея билеттерін, түбіртіктерді немесе өзге де құжаттарды тарату (өткізу) тәртібі;</w:t>
            </w:r>
          </w:p>
          <w:p>
            <w:pPr>
              <w:spacing w:after="20"/>
              <w:ind w:left="20"/>
              <w:jc w:val="both"/>
            </w:pPr>
            <w:r>
              <w:rPr>
                <w:rFonts w:ascii="Times New Roman"/>
                <w:b w:val="false"/>
                <w:i w:val="false"/>
                <w:color w:val="000000"/>
                <w:sz w:val="20"/>
              </w:rPr>
              <w:t>
11) лотерея билетінің, түбіртектің немесе өзге де құжаттың бағасы;</w:t>
            </w:r>
          </w:p>
          <w:p>
            <w:pPr>
              <w:spacing w:after="20"/>
              <w:ind w:left="20"/>
              <w:jc w:val="both"/>
            </w:pPr>
            <w:r>
              <w:rPr>
                <w:rFonts w:ascii="Times New Roman"/>
                <w:b w:val="false"/>
                <w:i w:val="false"/>
                <w:color w:val="000000"/>
                <w:sz w:val="20"/>
              </w:rPr>
              <w:t>
12) ұтыстың мөлшері мен нысанын (ақшалай немесе заттай);</w:t>
            </w:r>
          </w:p>
          <w:p>
            <w:pPr>
              <w:spacing w:after="20"/>
              <w:ind w:left="20"/>
              <w:jc w:val="both"/>
            </w:pPr>
            <w:r>
              <w:rPr>
                <w:rFonts w:ascii="Times New Roman"/>
                <w:b w:val="false"/>
                <w:i w:val="false"/>
                <w:color w:val="000000"/>
                <w:sz w:val="20"/>
              </w:rPr>
              <w:t>
13) жүлде қорының жоспарланып отырған мөлшері;</w:t>
            </w:r>
          </w:p>
          <w:p>
            <w:pPr>
              <w:spacing w:after="20"/>
              <w:ind w:left="20"/>
              <w:jc w:val="both"/>
            </w:pPr>
            <w:r>
              <w:rPr>
                <w:rFonts w:ascii="Times New Roman"/>
                <w:b w:val="false"/>
                <w:i w:val="false"/>
                <w:color w:val="000000"/>
                <w:sz w:val="20"/>
              </w:rPr>
              <w:t>
14) жүлде қорының ұтыс ойынын өткізу тәртібін, ұтыстарды айқындау алгоритмін, бас жүлдені (бар болса) қалыптастыру мен ұтысқа салу қағидалары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лотерея операторы бекіткен лотереяны өткізу шарттарының түпнұсқа данасын Лотерея және лотерея қызметі саласындағы уәкілетті органға оны өткізу басталғанға дейін күнтізбелік он күннен кешіктірмей жіберу және лотереяны өткізу шарттарын оны өткізу басталғанға дейін күнтізбелік бір күннен кешіктірмей өзінің интернет-ресурсында орналастыру бойынша міндеттемені сақтамауы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сатылған лотерея билеттерінен, түбіртектерден немесе нақты лотереяның өзге де құжаттарынан түскен түсімнің кемінде елу пайызы мөлшерінде не өз қаражаты есебінен жүлде қорын қалыптастыруды қамтамасыз ету жөніндегі міндеттемелерді сақтамауы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тираждық лотереяның жүлде қорын оны ойнату басталғанға дейін қалыптастыру жөніндегі талапты сақтамауы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лотереяға қатысушылар алдындағы ұтыстарды төлеу жөніндегі, сондай-ақ жүлде қорының қаражатын ұтыстарды төлеуден өзгеше пайдалану жөніндегі міндеттемелерді қоспағанда, жүлде қорына қандай да бір міндеттемелермен ауыртпалық салуға тыйым салу жөніндегі талапты сақтауы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жүлде қорын (бас жүлдені) бірнеше тираж бойына жинақтап қалыптастыру қағидаты өткізу шарттарында пайдаланылатын тираждық лотереяны қоспағанда, тираждық лотереяның жүлде қоры оған қатысы бар тираж шеңберінде толығымен ұтысқа салу бойынша талаптарды сақтамауы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лотерея өткізу шарттарына сәйкес ұтқан деп танылған лотереяға қатысушыға лотерея өткізу шарттарына сәйкес ұтыстарды мөлшері мен нысанында (ақшалай немесе заттай) төлеу жөніндегі талапты сақтамауы (ұтыстарды төлеу тиісті таралым өткізілгеннен кейін отыз күн мерзімнен кешіктірілмей басталуы және нәтижелері жарияланған сәттен бастап кемінде алты ай жалғасуы тиіс (жүлде қорының ұтыс ойыны)).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лотерея өткізу шарттарында белгіленген мерзімде талап етілмеген ұтыстарды тиісті тираждың (жүлде қорының ұтыс ойынының) нәтижелері жарияланған кезден бастап үш жыл ішінде сақтау жөніндегі талапты сақтамауы, содан кейін олар салық емес төлем түрінде бюджет кірісіне есептеледі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нысанды қоспағанда, лотерея билеттеріндегі, түбіртектердегі немесе өзге де құжаттардағы төмендегідей міндетті ақпараттың мазмұны бойынша талапты сақтамау:</w:t>
            </w:r>
          </w:p>
          <w:p>
            <w:pPr>
              <w:spacing w:after="20"/>
              <w:ind w:left="20"/>
              <w:jc w:val="both"/>
            </w:pPr>
            <w:r>
              <w:rPr>
                <w:rFonts w:ascii="Times New Roman"/>
                <w:b w:val="false"/>
                <w:i w:val="false"/>
                <w:color w:val="000000"/>
                <w:sz w:val="20"/>
              </w:rPr>
              <w:t>
1) лотереяның атауы;</w:t>
            </w:r>
          </w:p>
          <w:p>
            <w:pPr>
              <w:spacing w:after="20"/>
              <w:ind w:left="20"/>
              <w:jc w:val="both"/>
            </w:pPr>
            <w:r>
              <w:rPr>
                <w:rFonts w:ascii="Times New Roman"/>
                <w:b w:val="false"/>
                <w:i w:val="false"/>
                <w:color w:val="000000"/>
                <w:sz w:val="20"/>
              </w:rPr>
              <w:t>
2) лотерея операторының атауы, орналасқан жері, телефон нөмірлері және интернет-ресурсы;</w:t>
            </w:r>
          </w:p>
          <w:p>
            <w:pPr>
              <w:spacing w:after="20"/>
              <w:ind w:left="20"/>
              <w:jc w:val="both"/>
            </w:pPr>
            <w:r>
              <w:rPr>
                <w:rFonts w:ascii="Times New Roman"/>
                <w:b w:val="false"/>
                <w:i w:val="false"/>
                <w:color w:val="000000"/>
                <w:sz w:val="20"/>
              </w:rPr>
              <w:t>
3) тираждың нөмірі немесе атауы (тираждық лотереялар үшін);</w:t>
            </w:r>
          </w:p>
          <w:p>
            <w:pPr>
              <w:spacing w:after="20"/>
              <w:ind w:left="20"/>
              <w:jc w:val="both"/>
            </w:pPr>
            <w:r>
              <w:rPr>
                <w:rFonts w:ascii="Times New Roman"/>
                <w:b w:val="false"/>
                <w:i w:val="false"/>
                <w:color w:val="000000"/>
                <w:sz w:val="20"/>
              </w:rPr>
              <w:t>
4) лотерея билетінің, түбіртектің немесе өзге де құжаттың нөмірі;</w:t>
            </w:r>
          </w:p>
          <w:p>
            <w:pPr>
              <w:spacing w:after="20"/>
              <w:ind w:left="20"/>
              <w:jc w:val="both"/>
            </w:pPr>
            <w:r>
              <w:rPr>
                <w:rFonts w:ascii="Times New Roman"/>
                <w:b w:val="false"/>
                <w:i w:val="false"/>
                <w:color w:val="000000"/>
                <w:sz w:val="20"/>
              </w:rPr>
              <w:t>
5) лотерея билетінің, түбіртектің немесе өзге де құжаттың бағасы;</w:t>
            </w:r>
          </w:p>
          <w:p>
            <w:pPr>
              <w:spacing w:after="20"/>
              <w:ind w:left="20"/>
              <w:jc w:val="both"/>
            </w:pPr>
            <w:r>
              <w:rPr>
                <w:rFonts w:ascii="Times New Roman"/>
                <w:b w:val="false"/>
                <w:i w:val="false"/>
                <w:color w:val="000000"/>
                <w:sz w:val="20"/>
              </w:rPr>
              <w:t>
6) жүлде қорының ұтыс ойынын өткізу күні мен орны (тираждық лотерея үшін);</w:t>
            </w:r>
          </w:p>
          <w:p>
            <w:pPr>
              <w:spacing w:after="20"/>
              <w:ind w:left="20"/>
              <w:jc w:val="both"/>
            </w:pPr>
            <w:r>
              <w:rPr>
                <w:rFonts w:ascii="Times New Roman"/>
                <w:b w:val="false"/>
                <w:i w:val="false"/>
                <w:color w:val="000000"/>
                <w:sz w:val="20"/>
              </w:rPr>
              <w:t>
7) ұтысты алу орны мен мерзімі туралы деректер;</w:t>
            </w:r>
          </w:p>
          <w:p>
            <w:pPr>
              <w:spacing w:after="20"/>
              <w:ind w:left="20"/>
              <w:jc w:val="both"/>
            </w:pPr>
            <w:r>
              <w:rPr>
                <w:rFonts w:ascii="Times New Roman"/>
                <w:b w:val="false"/>
                <w:i w:val="false"/>
                <w:color w:val="000000"/>
                <w:sz w:val="20"/>
              </w:rPr>
              <w:t>
8) жүлде қорының мөлшері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лотерея билеттерінің, түбіртектердің немесе өзге де құжаттардың электрондық нысанына міндетті ақпараттың мазмұны бойынша талапты сақтамауы:</w:t>
            </w:r>
          </w:p>
          <w:p>
            <w:pPr>
              <w:spacing w:after="20"/>
              <w:ind w:left="20"/>
              <w:jc w:val="both"/>
            </w:pPr>
            <w:r>
              <w:rPr>
                <w:rFonts w:ascii="Times New Roman"/>
                <w:b w:val="false"/>
                <w:i w:val="false"/>
                <w:color w:val="000000"/>
                <w:sz w:val="20"/>
              </w:rPr>
              <w:t>
1) лотерея операторының атауы;</w:t>
            </w:r>
          </w:p>
          <w:p>
            <w:pPr>
              <w:spacing w:after="20"/>
              <w:ind w:left="20"/>
              <w:jc w:val="both"/>
            </w:pPr>
            <w:r>
              <w:rPr>
                <w:rFonts w:ascii="Times New Roman"/>
                <w:b w:val="false"/>
                <w:i w:val="false"/>
                <w:color w:val="000000"/>
                <w:sz w:val="20"/>
              </w:rPr>
              <w:t>
2) лотерея билетінің, түбіртектің немесе өзге де құжаттың нөмірі;</w:t>
            </w:r>
          </w:p>
          <w:p>
            <w:pPr>
              <w:spacing w:after="20"/>
              <w:ind w:left="20"/>
              <w:jc w:val="both"/>
            </w:pPr>
            <w:r>
              <w:rPr>
                <w:rFonts w:ascii="Times New Roman"/>
                <w:b w:val="false"/>
                <w:i w:val="false"/>
                <w:color w:val="000000"/>
                <w:sz w:val="20"/>
              </w:rPr>
              <w:t>
3) лотерея билетінің, түбіртектің немесе өзге де құжаттың бағасы;</w:t>
            </w:r>
          </w:p>
          <w:p>
            <w:pPr>
              <w:spacing w:after="20"/>
              <w:ind w:left="20"/>
              <w:jc w:val="both"/>
            </w:pPr>
            <w:r>
              <w:rPr>
                <w:rFonts w:ascii="Times New Roman"/>
                <w:b w:val="false"/>
                <w:i w:val="false"/>
                <w:color w:val="000000"/>
                <w:sz w:val="20"/>
              </w:rPr>
              <w:t>
4) лотерея операторының орналасқан жері, телефон нөмірлері және интернет-ресурсы, лотереяның атауы, тираждың нөмірі немесе атауы (тираждық лотереялар үшін), жүлде қорының ұтыс ойынын өткізу күні мен орны (тираждық лотерея үшін), ұтысты алу орны мен мерзімдері, жүлде қорының мөлшері туралы кеңейтілген ақпаратқа қол жеткізуге сілтеме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лотерея билеттерінде, түбіртектерде немесе өзге де құжаттарда қамтылған ақпараттың орфография және түпнұсқалық аударма нормаларының талаптарын сақтамауы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тираждық лотереяның жүлде қорын кездейсоқ түрде ұтқан лотерея комбинациясын генерациялау жолымен лотерея жабдығымен ұтыс ойынын жүзеге асыру бойынша талапты сақтамауы, оны лотерея қатысушысы өз ұтысын анықтау мақсатында осы ұтыс ойынындағы лотерея комбинациясымен салыстыруға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тираждық лотереяның жүлде қорының ұтыс ойынын өткізу кезінде тираждық комиссия құру жөніндегі талапты сақтамауы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ұтыстарды телеарнада тікелей эфирде немесе интернет желісінде айқындау рәсімін көрсете отырып, тираждық лотереяның жүлде қорының ұтыс ойынын трансляциялауды қамтамасыз ету жөніндегі талапты сақтамауы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Қазақстан Республикасының бүкіл аумағында таратылатын мерзімді баспа басылымдарында үш жұмыс күні ішінде жүлде қорының және лотерея билеттері, түбіртектер немесе тираждық лотереяның өзге де құжаттары бойынша ұтыстардың әрбір ұтыс ойынының нәтижелерін жариялау жөніндегі талапты сақтамауы немесе лотерея операторының интернет-ресурсында көрсетілген ұтыс ойыны өткізілген кезден бастап он екі сағат ішінде орналастыруы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тираждық лотереяны өткізу тоқтатылған жағдайда, бас жүлдені қоса алғанда, жүлде қорын толық ойнату бойынша талаптарды сақтамауы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операторының дене шынықтыруды және спортты дамытуға бағытталған бюджеттен тыс ақша қаражатын бөлу жөніндегі қызметті жүзеге асыратын бірыңғай операторға өткізілген лотерея билеттерінен, түбіртектерден немесе өзге де құжаттардан, тіркелген лотерея мөлшерлемелерінен түскен түсім мен жүлде қоры арасындағы айырманың кемінде он пайызын спортты дамытуға тоқсан сайын бағыттау міндетін сақтамауы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тіркеу, мәліметтер мен құжаттарды сақтау, құжаттарды қорғау бөлігінде қылмыстық жолмен алынған кірістерді заңдастыруға (жылыстатуға) және терроризмді қаржыландыруға қарсы іс-қимыл жөніндегі шараларды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жөніндегі уәкілетті органға қаржылық мониторингке жататын ақшамен және (немесе) мүлікпен жасалатын операциялар (шекті сомаға тең немесе одан асатын операция) туралы ақпаратты ұсынбау (жасалған күннен кейінгі жұмыс күнінен кешіктірмей)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жөніндегі уәкілетті органға қылмыстық кірістерді заңдастыру (жылыстату) және терроризмді қаржыландыру типологияларына, схемалары мен тәсілдеріне сәйкес келетін сипаттамалары бар күдікті операциялар мен клиенттің операциялары туралы ақпаратты ұсынбау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жөніндегі уәкілетті органға күдікті операциялар туралы ақпаратты ұсынбау (операция күдікті деп танылған кезде мұндай операция жүргізілгенге дейін қаржы мониторингі жөніндегі уәкілетті органға дереу хабарлау)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жөніндегі уәкілетті органға күдікті операциялар туралы ақпаратты ұсынбау (олар жүргізілгенге дейін күдікті деп танылмаған операциялар күдікті деп танылғаннан кейін бақылау субъектісінің ішкі бақылау қағидаларына сәйкес жиырма төрт сағаттан кешіктірілмей ұсынылады)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жасау мақсатында ішкі бақылау қағидаларының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бақылау қағидаларында мынадай бағдарламалардың болмауы:</w:t>
            </w:r>
          </w:p>
          <w:p>
            <w:pPr>
              <w:spacing w:after="20"/>
              <w:ind w:left="20"/>
              <w:jc w:val="both"/>
            </w:pPr>
            <w:r>
              <w:rPr>
                <w:rFonts w:ascii="Times New Roman"/>
                <w:b w:val="false"/>
                <w:i w:val="false"/>
                <w:color w:val="000000"/>
                <w:sz w:val="20"/>
              </w:rPr>
              <w:t>
қаржы мониторингі субъектісінің басшы қызметкерлерінің немесе қаржы мониторингі субъектісінің тиісті құрылымдық бөлімше басшысының деңгейінен төмен емес өзге де басшыларының арасынан, ішкі бақылау қағидаларының іске асырылуына және сақталуына жауапты адамды тағайындау туралы талапты, сондай-ақ қаржы мониторингі субъектілерінің ішкі бақылау қағидаларының іске асырылуына және сақталуына жауапты қызметкерлеріне қойылатын өзге де талаптарды, оның ішінде мінсіз іскерлік беделінің болуы туралы талапты қоса алғанда, ішкі бақылауды ұйымдастыру бағдарламасы;</w:t>
            </w:r>
          </w:p>
          <w:p>
            <w:pPr>
              <w:spacing w:after="20"/>
              <w:ind w:left="20"/>
              <w:jc w:val="both"/>
            </w:pPr>
            <w:r>
              <w:rPr>
                <w:rFonts w:ascii="Times New Roman"/>
                <w:b w:val="false"/>
                <w:i w:val="false"/>
                <w:color w:val="000000"/>
                <w:sz w:val="20"/>
              </w:rPr>
              <w:t>
технологиялық жетістіктерді пайдалану тәуекелін қоса алғанда, клиенттердің тәуекелдері мен қызметтерді қылмыстық мақсаттарда пайдалану тәуекелдерін ескеретін тәуекелдерді басқару бағдарламасы;</w:t>
            </w:r>
          </w:p>
          <w:p>
            <w:pPr>
              <w:spacing w:after="20"/>
              <w:ind w:left="20"/>
              <w:jc w:val="both"/>
            </w:pPr>
            <w:r>
              <w:rPr>
                <w:rFonts w:ascii="Times New Roman"/>
                <w:b w:val="false"/>
                <w:i w:val="false"/>
                <w:color w:val="000000"/>
                <w:sz w:val="20"/>
              </w:rPr>
              <w:t>
клиенттерді сәйкестендіру бағдарламасы; клиенттердің күрделі, ерекше ірі және басқа да ерекше операцияларын зерделеуді қоса алғанда, клиенттердің операцияларын мониторингтеу және зерделеу бағдарламасы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субъектілерін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саласында даярлау және оқыту бағдарламасы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Клиентке іскерлік қатынастар орнатудан және ақшамен операциялар жүргізуден бас тарту және (немесе) іскерлік қатынастар орнатудан және қаржы мониторингі жөніндегі уәкілетті органға ақшамен және (немесе) мүлікпен операциялар жүргізуден бас тарту туралы ақпарат ұсынудан бас тарту жөніндегі міндеттерді орындамауы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Ақшамен және (немесе) мүлікпен операцияларды мұздату жөнінде шаралар қолданбау және (немесе) қаржы мониторингі жөніндегі уәкілетті органға ақшамен және (немесе) мүлікпен операцияларды мұздату жөніндегі шаралар туралы ақпарат ұсынбау фактілерінің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 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Бақылау субъектісінің басшысы __________________________ 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