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b32b" w14:textId="06db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 июня 2023 года №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(зарегистрировано в Реестре государственной регистрации нормативных правовых актов за № 16299),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Алимкулова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Кушеров Н.О.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Тәжібаев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 _______ 2023 года №____ "Об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111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07.08.2023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D-3 (руководители самостоятельных структурных подразделений), административный государственный служащий корпуса "Б" категорий (руководители структурных подразделений) D-O-1;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акимата Туркестанской области от 03.01.2024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/государственного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исключена постановлением акимата Туркестанской области от 03.01.2024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Оцениваемое лицо                                                 Оценивающее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                     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подпись______________________________       подпись___________________________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целевого индикатора. При этом в допустимом диапазоне оценивающее лицо выставляет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оценивающего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структурного подразделения/государственного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Для расчета средней итоговой оценки необходимо сумму выставленных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руководителя структурного подразделения 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сможете сэкономить время и повысить достоверность результатов.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оцениваемого служащего 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постановлением акимата Туркестанской области от 03.01.2024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постановлением акимата Туркестанской области от 03.01.2024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постановлением акимата Туркестанской области от 03.01.2024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