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16b8" w14:textId="d5216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Шемонаихинского района от 14 марта 2022 года № 74 "Об утверждении Правил предоставления коммунальных услуг по Шемонаихинскому району"</w:t>
      </w:r>
    </w:p>
    <w:p>
      <w:pPr>
        <w:spacing w:after="0"/>
        <w:ind w:left="0"/>
        <w:jc w:val="both"/>
      </w:pPr>
      <w:r>
        <w:rPr>
          <w:rFonts w:ascii="Times New Roman"/>
          <w:b w:val="false"/>
          <w:i w:val="false"/>
          <w:color w:val="000000"/>
          <w:sz w:val="28"/>
        </w:rPr>
        <w:t>Постановление акимата Шемонаихинского района Восточно-Казахстанской области от 22 февраля 2024 года № 66</w:t>
      </w:r>
    </w:p>
    <w:p>
      <w:pPr>
        <w:spacing w:after="0"/>
        <w:ind w:left="0"/>
        <w:jc w:val="both"/>
      </w:pPr>
      <w:bookmarkStart w:name="z5" w:id="0"/>
      <w:r>
        <w:rPr>
          <w:rFonts w:ascii="Times New Roman"/>
          <w:b w:val="false"/>
          <w:i w:val="false"/>
          <w:color w:val="000000"/>
          <w:sz w:val="28"/>
        </w:rPr>
        <w:t xml:space="preserve">
      Акимат Шемонаихинского района ПОСТАНОВЛЯЕТ: </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Шемонаихинского района от 14 марта 2022 года № 74 "Об утверждении Правил предоставления коммунальных услуг по Шемонаихинскому району" следующие изменения и дополнения.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коммунальных услуг по Шемонаихинскому району, утвержденных указанным постановлением:</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подпункты 10), 13), 14), 15) изложить в следующей редакции:</w:t>
      </w:r>
    </w:p>
    <w:bookmarkEnd w:id="4"/>
    <w:bookmarkStart w:name="z10" w:id="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коммунальные услуги</w:t>
      </w:r>
      <w:r>
        <w:rPr>
          <w:rFonts w:ascii="Times New Roman"/>
          <w:b w:val="false"/>
          <w:i w:val="false"/>
          <w:color w:val="000000"/>
          <w:sz w:val="28"/>
        </w:rPr>
        <w:t xml:space="preserve">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5"/>
    <w:bookmarkStart w:name="z11" w:id="6"/>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6"/>
    <w:bookmarkStart w:name="z12" w:id="7"/>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7"/>
    <w:bookmarkStart w:name="z13" w:id="8"/>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5" w:id="9"/>
    <w:p>
      <w:pPr>
        <w:spacing w:after="0"/>
        <w:ind w:left="0"/>
        <w:jc w:val="both"/>
      </w:pPr>
      <w:r>
        <w:rPr>
          <w:rFonts w:ascii="Times New Roman"/>
          <w:b w:val="false"/>
          <w:i w:val="false"/>
          <w:color w:val="000000"/>
          <w:sz w:val="28"/>
        </w:rPr>
        <w:t xml:space="preserve">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9"/>
    <w:bookmarkStart w:name="z16" w:id="10"/>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10"/>
    <w:bookmarkStart w:name="z17" w:id="11"/>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11"/>
    <w:bookmarkStart w:name="z18" w:id="12"/>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bookmarkEnd w:id="12"/>
    <w:bookmarkStart w:name="z19" w:id="13"/>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4"/>
    <w:bookmarkStart w:name="z22" w:id="15"/>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bookmarkEnd w:id="15"/>
    <w:bookmarkStart w:name="z23" w:id="16"/>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2</w:t>
      </w:r>
      <w:r>
        <w:rPr>
          <w:rFonts w:ascii="Times New Roman"/>
          <w:b w:val="false"/>
          <w:i w:val="false"/>
          <w:color w:val="000000"/>
          <w:sz w:val="28"/>
        </w:rPr>
        <w:t xml:space="preserve"> дополнить пунктом 3-1:</w:t>
      </w:r>
    </w:p>
    <w:bookmarkStart w:name="z25" w:id="17"/>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17"/>
    <w:bookmarkStart w:name="z26" w:id="18"/>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18"/>
    <w:bookmarkStart w:name="z27" w:id="19"/>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Шемонаихинского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