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9bae" w14:textId="4bf9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срока действия ставки ввозной таможенной пошлины Единого таможенного тарифа Евразийского экономического союза в отношении отдельных видов двигателей внутреннего сгорания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сентября 2019 года № 88.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Продлить срок действия ставки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коммиссии от 16 июля 2012 г. № 54) в отношении отдельных видов двигателей внутреннего сгорания, классифицируемых кодом 8408 20 990 4 ТН ВЭД ЕАЭС, в размере 0 процентов от таможенной стоимости по 31 декабря 2021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примечании 23С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слова "по 30.09.2019 включительно" заменить словами "по 31.12.2021 включительно".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Срок, указанный в примечании 23С, может быть сокращен по решению Совета ЕЭК при поступлении информации от Российской Федерации об успешном завершении совместно с ОАО "БелАЗ" испытаний отдельных видов двигателей внутреннего сгорания, классифицируемых кодом 8408 20 9904 ТН ВЭД ЕАЭС, указанных в пункте 1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октября 2019 года.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