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d08f" w14:textId="de0d0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перечень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 в отношении прутков из оптического стекла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Совета Евразийской экономической комиссии от 23 апреля 2021 года № 37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некоторых вопросах ввоза и обращения товаров на таможенной территории Евразийского экономического союза от 16 октября 2015 года, </w:t>
      </w:r>
      <w:r>
        <w:rPr>
          <w:rFonts w:ascii="Times New Roman"/>
          <w:b w:val="false"/>
          <w:i w:val="false"/>
          <w:color w:val="000000"/>
          <w:sz w:val="28"/>
        </w:rPr>
        <w:t>пунктами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 Евразийской экономической комиссии (приложение № 1 к Договору о 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132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1 к Регламенту работы Евразийской экономической комиссии, утвержденному Решением Высшего Евразийского экономического совета от 23 декабря 2014 г. № 98, Совет Евразийской экономической комиссии решил: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товаров, в отношении которых Республикой Казахстан в соответствии с обязательствами, принятыми в качестве условия присоединения к Всемирной торговой организации, применяются ставки ввозных таможенных пошлин, более низкие по сравнению со ставками пошлин Единого таможенного тарифа Евразийского экономического союза, и размеров таких ставок пошлин, утвержденный Решением Совета Евразийской экономической комиссии от 14 октября 2015 г. № 59, следующие изменения: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 дополнить сноской 12 следующего содержания: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vertAlign w:val="superscript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> Ставка ввозной таможенной пошлины применяется с 1 января 2024 г.";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 в позиции 7002 20 100 0 ТН ВЭД ЕАЭС в графе третьей сноску </w:t>
      </w:r>
      <w:r>
        <w:rPr>
          <w:rFonts w:ascii="Times New Roman"/>
          <w:b w:val="false"/>
          <w:i w:val="false"/>
          <w:color w:val="000000"/>
          <w:vertAlign w:val="superscript"/>
        </w:rPr>
        <w:t>"5"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заменить сноской </w:t>
      </w:r>
      <w:r>
        <w:rPr>
          <w:rFonts w:ascii="Times New Roman"/>
          <w:b w:val="false"/>
          <w:i w:val="false"/>
          <w:color w:val="000000"/>
          <w:vertAlign w:val="superscript"/>
        </w:rPr>
        <w:t>"12".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Настоящее Решение вступает в силу по истечении 10 календарных дней с даты его официального опубликования и распространяется на правоотношения, возникшие с 1 января 2021 г.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Совета Евразийской экономической комиссии: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 Григорян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И. Петришенко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Смаилов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У. Кармышаков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 Оверчук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