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6704" w14:textId="7e46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11 января 2022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игрушек" (ТР ТС 008/2011) и осуществления оценки соответствия объектов технического регулирования, утвержденный Решением Комиссии Таможенного союза от 23 сентября 2011 г. № 798, дополнить позициями 184 и 185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6309-2020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№ BY 00120 от 29.10.2020; применяется с 01.06.2022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KZ.А.01.0602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об аттестации № 168 от 22.10.2020; применяется с 01.06.2022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