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a00d" w14:textId="45da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27 ноября 2009 г. № 130 в отношении отдельных видов гражданских пассажирских самолетов</w:t>
      </w:r>
    </w:p>
    <w:p>
      <w:pPr>
        <w:spacing w:after="0"/>
        <w:ind w:left="0"/>
        <w:jc w:val="both"/>
      </w:pPr>
      <w:r>
        <w:rPr>
          <w:rFonts w:ascii="Times New Roman"/>
          <w:b w:val="false"/>
          <w:i w:val="false"/>
          <w:color w:val="000000"/>
          <w:sz w:val="28"/>
        </w:rPr>
        <w:t>Решение Совета Евразийской экономической комиссии от 10 июня 2022 года № 94.</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пунктом 16 Положения о Евразийской экономической комиссии (приложение № 1 к Договору о Евразийском экономическом союзе от 29 мая 2014 года), </w:t>
      </w:r>
      <w:r>
        <w:rPr>
          <w:rFonts w:ascii="Times New Roman"/>
          <w:b w:val="false"/>
          <w:i w:val="false"/>
          <w:color w:val="000000"/>
          <w:sz w:val="28"/>
        </w:rPr>
        <w:t>пунктом 7</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пункт 7</w:t>
      </w:r>
      <w:r>
        <w:rPr>
          <w:rFonts w:ascii="Times New Roman"/>
          <w:b w:val="false"/>
          <w:i w:val="false"/>
          <w:color w:val="000000"/>
          <w:sz w:val="28"/>
        </w:rPr>
        <w:t xml:space="preserve"> Решения Комиссии Таможенного союза от 27 ноября 2009 г. № 130 "О едином таможенно-тарифном регулировании Евразийского экономического союза" следующие изменения:</w:t>
      </w:r>
    </w:p>
    <w:bookmarkEnd w:id="1"/>
    <w:bookmarkStart w:name="z6" w:id="2"/>
    <w:p>
      <w:pPr>
        <w:spacing w:after="0"/>
        <w:ind w:left="0"/>
        <w:jc w:val="both"/>
      </w:pPr>
      <w:r>
        <w:rPr>
          <w:rFonts w:ascii="Times New Roman"/>
          <w:b w:val="false"/>
          <w:i w:val="false"/>
          <w:color w:val="000000"/>
          <w:sz w:val="28"/>
        </w:rPr>
        <w:t>
      а) </w:t>
      </w:r>
      <w:r>
        <w:rPr>
          <w:rFonts w:ascii="Times New Roman"/>
          <w:b w:val="false"/>
          <w:i w:val="false"/>
          <w:color w:val="000000"/>
          <w:sz w:val="28"/>
        </w:rPr>
        <w:t>подпункт 7.1.13</w:t>
      </w:r>
      <w:r>
        <w:rPr>
          <w:rFonts w:ascii="Times New Roman"/>
          <w:b w:val="false"/>
          <w:i w:val="false"/>
          <w:color w:val="000000"/>
          <w:sz w:val="28"/>
        </w:rPr>
        <w:t xml:space="preserve"> изложить в следующей редакции:</w:t>
      </w:r>
    </w:p>
    <w:bookmarkEnd w:id="2"/>
    <w:bookmarkStart w:name="z7" w:id="3"/>
    <w:p>
      <w:pPr>
        <w:spacing w:after="0"/>
        <w:ind w:left="0"/>
        <w:jc w:val="both"/>
      </w:pPr>
      <w:r>
        <w:rPr>
          <w:rFonts w:ascii="Times New Roman"/>
          <w:b w:val="false"/>
          <w:i w:val="false"/>
          <w:color w:val="000000"/>
          <w:sz w:val="28"/>
        </w:rPr>
        <w:t>
      "7.1.13. Гражданские пассажирские самолеты, классифицируемые кодами 8802 40 003 5 и 8802 40 003 6 ТН ВЭД ЕАЭС, ввозимые на таможенную территорию Евразийского экономического союза по 31 декабря 2031 г. включительно в целях их использования в пределах территории государства-члена, в которое осуществляется ввоз этого товара, а также для перевозок между территориями государств-членов и (или) для международных перевозок;";</w:t>
      </w:r>
    </w:p>
    <w:bookmarkEnd w:id="3"/>
    <w:bookmarkStart w:name="z8" w:id="4"/>
    <w:p>
      <w:pPr>
        <w:spacing w:after="0"/>
        <w:ind w:left="0"/>
        <w:jc w:val="both"/>
      </w:pPr>
      <w:r>
        <w:rPr>
          <w:rFonts w:ascii="Times New Roman"/>
          <w:b w:val="false"/>
          <w:i w:val="false"/>
          <w:color w:val="000000"/>
          <w:sz w:val="28"/>
        </w:rPr>
        <w:t>
      б) </w:t>
      </w:r>
      <w:r>
        <w:rPr>
          <w:rFonts w:ascii="Times New Roman"/>
          <w:b w:val="false"/>
          <w:i w:val="false"/>
          <w:color w:val="000000"/>
          <w:sz w:val="28"/>
        </w:rPr>
        <w:t>подпункт 7.1.20</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"7.1.20. Турбовинтовые гражданские пассажирские самолеты, классифицируемые кодами 8802 30 000 7 и 8802 40 001 6 ТН ВЭД ЕАЭС,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90 человек, ввозимые на таможенную территорию Евразийского экономического союза по 31 декабря 2025 г. включительно;".</w:t>
      </w:r>
    </w:p>
    <w:bookmarkEnd w:id="5"/>
    <w:bookmarkStart w:name="z10" w:id="6"/>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его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Армения</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Беларусь</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Казахстан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Кыргызской Республики</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Российской Федерации</w:t>
                  </w:r>
                  <w:r>
                    <w:rPr>
                      <w:rFonts w:ascii="Times New Roman"/>
                      <w:b w:val="false"/>
                      <w:i w:val="false"/>
                      <w:color w:val="000000"/>
                      <w:sz w:val="20"/>
                    </w:rPr>
                    <w:t>
</w:t>
                  </w:r>
                </w:p>
              </w:tc>
            </w:tr>
          </w:tbl>
          <w:p/>
        </w:tc>
      </w:tr>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Петришенко</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Кожошев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Оверчук</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