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415922" w14:textId="b41592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решения Совета директоров акционерного общества "Фонд национального благосостояния "Самрук-Қазына" о цене, количестве, структуре 
размещения объявленных простых акций акционерного общества "КазТрансОйл"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31 октября 2012 года № 1376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7 Закона Республики Казахстан от 1 февраля 2012 года «О Фонде национального благосостояния»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прилагаемое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Совета директоров акционерного общества «Фонд национального благосостояния «Самрук-Қазына» от 29 октября 2012 года о цене, количестве, структуре размещения объявленных простых акций акционерного общества «КазТрансОйл» (протокол заседания № 85).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Утверждено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31 октября 2012 года № 1376 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Решение Совета директоров</w:t>
      </w:r>
      <w:r>
        <w:br/>
      </w:r>
      <w:r>
        <w:rPr>
          <w:rFonts w:ascii="Times New Roman"/>
          <w:b/>
          <w:i w:val="false"/>
          <w:color w:val="000000"/>
        </w:rPr>
        <w:t>
акционерного общества «Фонд национального благосостояния «Самрук-Қазына» от 29 октября 2012 года о цене, количестве, структуре размещения объявленных простых акций АО «КазТрансОйл»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19)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8 Закона Республики Казахстан «О Фонде национального благосостояния», Программой вывода пакетов акций дочерних и зависимых организаций акционерного общества «Фонд национального благосостояния «Самрук-Қазына» на рынок ценных бумаг, утвержденной постановлением Правительства Республики Казахстан от 8 сентября 2011 года № 1027, Совет директоров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Определить: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цену размещения одной простой акции акционерного общества «КазТрансОйл» – 725 (семьсот двадцать пять)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количество размещаемых простых акций акционерного общества «КазТрансОйл» на казахстанском организованном рынке ценных бумаг путем проведения подписки – 38463559 (тридцать восемь миллионов четыреста шестьдесят три тысячи пятьсот пятьдесят девять) штук;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структуру размещения простых акций акционерного общества «КазТрансОйл» согласно приложению к указанному решению.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Совета директоров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акционерного общества «Фонд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национального благосостояния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«Самрук-Қазына»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29 октября 2012 года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(протокол заседания № 85)    </w:t>
      </w:r>
    </w:p>
    <w:bookmarkEnd w:id="4"/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Структура размещения простых акций акционерого общества «КазТрансОйл» 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рамках реализации Программы «Народное IPO» настоящая структура размещения простых акций акционерного общества «КазТрансОйл» (далее – общество) среди различных групп инвесторов при их первичном размещении (далее – структура) определяет порядок распределения простых акций акционерого общества «КазТрансОйл» среди потенциальных инвесторов.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Определения, используемые в настоящей структуре: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маркет-мейкер по акциям общества – член биржи, признанный в качестве такового биржей и принявший на себя обязательство перед обществом постоянно объявлять и поддерживать котировки на покупку и продажу по акциям общества и выполняющий все обязанности, вытекающие из обладания таковым статусом на основании заключенного с обществом договора;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розничные инвесторы – граждане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институциональные инвесторы – накопительные пенсионные фонды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Ограничения по сумме инвестирования: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для маркет-мейкера по акциям общества – не менее 67000000 (шестьдесят семь миллионов) тенге, но не более 157000000 (сто пятьдесят семь миллионов тенге)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для розничных инвесторов – заявки принимаются без ограничений. Удовлетворение заявок розничных инвесторов производится с учетом раздела 3 структуры;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для институциональных инвесторов – без ограничений с учетом раздела 3 структуры.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Порядок распределения акций общества среди различных групп инвесторов при их первичном размещении: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заявка маркет-мейкера по акциям общества удовлетворяется в первоочередном порядке;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заявки розничных инвесторов по акциям общества удовлетворяются полностью в пределах 7000000 (семь миллионов)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 случае, если совокупная сумма заявок со стороны розничных инвесторов с учетом пункта 2 раздела 3 структуры превышает объем размещаемых акций (за вычетом заявки маркет-мейкера по акциям общества), размер максимальной суммы удовлетворения заявок будет снижен в следующем порядке: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снижение начинается с максимальной суммы удовлетворения заявок равной 7000000 (семь миллионов)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шаг снижения составляет сумму, равную цене акции;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снижение осуществляется до момента выравнивания размера спроса и объема размещаемых акций общества.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Объем акций, невостребованный розничными инвесторами с учетом реализации пунктов 1 – 2 раздела 3 структуры, размещается среди институциональных инвесторов согласно поданным ими заявкам.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В случае, если совокупный спрос со стороны институциональных инвесторов превышает объем размещаемых акций (за вычетом заявок маркет-мейкера по акциям общества и розничных инвесторов), заявки институциональных инвесторов будут удовлетворяться пропорционально объемам их заявок.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Объем акций общества, невостребованный инвесторами с учетом реализации пунктов 1 – 5 раздела 3 структуры, распределяется среди розничных инвесторов, подавших заявки свыше 7000000 (семь миллионов) тенге, в следующем порядке: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 случае, если совокупный спрос меньше оставшегося объема акций, все заявки удовлетворяются полностью;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 случае, если совокупный спрос больше оставшегося объема акций, заявки удовлетворяются пропорционально объемам, превышающим 7000000 (семь миллионов)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Объем акций общества, невостребованный инвесторами с учетом реализации пунктов 1 – 6 раздела 3 структуры, размещается на организованном рынке ценных бумаг не ранее 6 (шесть) месяцев после даты размещения в рамках Программы «Народное IPO» в установленном законодательством порядке.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Особенности распределения акций общества.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распределении акций общества среди различных групп инвесторов при их первичном размещении не учитывается срок подачи заявки в пределах периода подписки.</w:t>
      </w:r>
    </w:p>
    <w:bookmarkEnd w:id="6"/>
    <w:bookmarkStart w:name="z3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      1</w:t>
      </w:r>
      <w:r>
        <w:rPr>
          <w:rFonts w:ascii="Times New Roman"/>
          <w:b w:val="false"/>
          <w:i w:val="false"/>
          <w:color w:val="000000"/>
          <w:sz w:val="28"/>
        </w:rPr>
        <w:t>Объем заявки маркет-мейкера определяется им к моменту закрытия книги заявок и зависит от сложившейся ситуации с розничным и институциональным спросом на акции на потенциальном вторичном рынке. При этом окончательное решение об объеме заявки также основывается на изучении характера первичного спроса при первичном размещении и зависит от преобладающих настроений среди розничных инвесторов: краткосрочные (спекулятивные) или долгосрочные.</w:t>
      </w:r>
    </w:p>
    <w:bookmarkEnd w:id="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