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1599" w14:textId="fb315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7 марта 2013 года № 224. Утратило силу постановлением Правительства Республики Казахстан от 10 ноября 2014 года № 1182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10.11.2014 </w:t>
      </w:r>
      <w:r>
        <w:rPr>
          <w:rFonts w:ascii="Times New Roman"/>
          <w:b w:val="false"/>
          <w:i w:val="false"/>
          <w:color w:val="ff0000"/>
          <w:sz w:val="28"/>
        </w:rPr>
        <w:t>№ 1182</w:t>
      </w:r>
      <w:r>
        <w:rPr>
          <w:rFonts w:ascii="Times New Roman"/>
          <w:b w:val="false"/>
          <w:i w:val="false"/>
          <w:color w:val="ff0000"/>
          <w:sz w:val="28"/>
        </w:rPr>
        <w:t xml:space="preserve"> (вводится в действие с 01.01.2017).</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изменения и дополнения</w:t>
      </w:r>
      <w:r>
        <w:rPr>
          <w:rFonts w:ascii="Times New Roman"/>
          <w:b w:val="false"/>
          <w:i w:val="false"/>
          <w:color w:val="000000"/>
          <w:sz w:val="28"/>
        </w:rPr>
        <w:t>, которые вносятся в некоторые решения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xml:space="preserve">      Республики Казахстан                       С. Ахметов </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марта 2013 года № 224 </w:t>
      </w:r>
    </w:p>
    <w:bookmarkEnd w:id="1"/>
    <w:bookmarkStart w:name="z5" w:id="2"/>
    <w:p>
      <w:pPr>
        <w:spacing w:after="0"/>
        <w:ind w:left="0"/>
        <w:jc w:val="left"/>
      </w:pPr>
      <w:r>
        <w:rPr>
          <w:rFonts w:ascii="Times New Roman"/>
          <w:b/>
          <w:i w:val="false"/>
          <w:color w:val="000000"/>
        </w:rPr>
        <w:t xml:space="preserve"> 
Изменения и дополнения, которые вносятся в некоторые решения</w:t>
      </w:r>
      <w:r>
        <w:br/>
      </w:r>
      <w:r>
        <w:rPr>
          <w:rFonts w:ascii="Times New Roman"/>
          <w:b/>
          <w:i w:val="false"/>
          <w:color w:val="000000"/>
        </w:rPr>
        <w:t>
Правительства Республики Казахстан</w:t>
      </w:r>
    </w:p>
    <w:bookmarkEnd w:id="2"/>
    <w:bookmarkStart w:name="z6" w:id="3"/>
    <w:p>
      <w:pPr>
        <w:spacing w:after="0"/>
        <w:ind w:left="0"/>
        <w:jc w:val="both"/>
      </w:pPr>
      <w:r>
        <w:rPr>
          <w:rFonts w:ascii="Times New Roman"/>
          <w:b w:val="false"/>
          <w:i w:val="false"/>
          <w:color w:val="000000"/>
          <w:sz w:val="28"/>
        </w:rPr>
        <w:t>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4 марта 2011 года № 225 «Об утверждении Программы посткризисного восстановления (оздоровление конкурентоспособных предприятий)»: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Программе</w:t>
      </w:r>
      <w:r>
        <w:rPr>
          <w:rFonts w:ascii="Times New Roman"/>
          <w:b w:val="false"/>
          <w:i w:val="false"/>
          <w:color w:val="000000"/>
          <w:sz w:val="28"/>
        </w:rPr>
        <w:t xml:space="preserve"> посткризисного восстановления (оздоровление конкурентоспособных предприятий), утвержденной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2</w:t>
      </w:r>
      <w:r>
        <w:rPr>
          <w:rFonts w:ascii="Times New Roman"/>
          <w:b w:val="false"/>
          <w:i w:val="false"/>
          <w:color w:val="000000"/>
          <w:sz w:val="28"/>
        </w:rPr>
        <w:t xml:space="preserve"> «Введение»:</w:t>
      </w:r>
      <w:r>
        <w:br/>
      </w:r>
      <w:r>
        <w:rPr>
          <w:rFonts w:ascii="Times New Roman"/>
          <w:b w:val="false"/>
          <w:i w:val="false"/>
          <w:color w:val="000000"/>
          <w:sz w:val="28"/>
        </w:rPr>
        <w:t>
</w:t>
      </w:r>
      <w:r>
        <w:rPr>
          <w:rFonts w:ascii="Times New Roman"/>
          <w:b w:val="false"/>
          <w:i w:val="false"/>
          <w:color w:val="000000"/>
          <w:sz w:val="28"/>
        </w:rPr>
        <w:t>
      часть седьмую изложить в следующей редакции:</w:t>
      </w:r>
      <w:r>
        <w:br/>
      </w:r>
      <w:r>
        <w:rPr>
          <w:rFonts w:ascii="Times New Roman"/>
          <w:b w:val="false"/>
          <w:i w:val="false"/>
          <w:color w:val="000000"/>
          <w:sz w:val="28"/>
        </w:rPr>
        <w:t>
      «Конкурентоспособные предприятия, чья задолженность составляет менее данной суммы, смогут воспользоваться государственной поддержкой в рамках Программы «Дорожная карта бизнеса 2020»,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апреля 2010 года № 301 (далее - </w:t>
      </w:r>
      <w:r>
        <w:rPr>
          <w:rFonts w:ascii="Times New Roman"/>
          <w:b w:val="false"/>
          <w:i w:val="false"/>
          <w:color w:val="000000"/>
          <w:sz w:val="28"/>
        </w:rPr>
        <w:t>Программа</w:t>
      </w:r>
      <w:r>
        <w:rPr>
          <w:rFonts w:ascii="Times New Roman"/>
          <w:b w:val="false"/>
          <w:i w:val="false"/>
          <w:color w:val="000000"/>
          <w:sz w:val="28"/>
        </w:rPr>
        <w:t xml:space="preserve"> «Дорожная карта бизнеса 2020»). Предприятия, уже получающие меры поддержки по </w:t>
      </w:r>
      <w:r>
        <w:rPr>
          <w:rFonts w:ascii="Times New Roman"/>
          <w:b w:val="false"/>
          <w:i w:val="false"/>
          <w:color w:val="000000"/>
          <w:sz w:val="28"/>
        </w:rPr>
        <w:t>Программе</w:t>
      </w:r>
      <w:r>
        <w:rPr>
          <w:rFonts w:ascii="Times New Roman"/>
          <w:b w:val="false"/>
          <w:i w:val="false"/>
          <w:color w:val="000000"/>
          <w:sz w:val="28"/>
        </w:rPr>
        <w:t xml:space="preserve"> «Дорожная карта бизнеса 2020» в виде субсидирования, в случае соответствия требованиям Программы могут принять участие в ней. При этом, таким предприятиям до получения мер государственной поддержки по Программе необходимо расторгнуть договор субсидирования, заключенный в рамках </w:t>
      </w:r>
      <w:r>
        <w:rPr>
          <w:rFonts w:ascii="Times New Roman"/>
          <w:b w:val="false"/>
          <w:i w:val="false"/>
          <w:color w:val="000000"/>
          <w:sz w:val="28"/>
        </w:rPr>
        <w:t>Программы</w:t>
      </w:r>
      <w:r>
        <w:rPr>
          <w:rFonts w:ascii="Times New Roman"/>
          <w:b w:val="false"/>
          <w:i w:val="false"/>
          <w:color w:val="000000"/>
          <w:sz w:val="28"/>
        </w:rPr>
        <w:t xml:space="preserve"> «Дорожная карта бизнеса 2020».;</w:t>
      </w:r>
      <w:r>
        <w:br/>
      </w:r>
      <w:r>
        <w:rPr>
          <w:rFonts w:ascii="Times New Roman"/>
          <w:b w:val="false"/>
          <w:i w:val="false"/>
          <w:color w:val="000000"/>
          <w:sz w:val="28"/>
        </w:rPr>
        <w:t>
</w:t>
      </w:r>
      <w:r>
        <w:rPr>
          <w:rFonts w:ascii="Times New Roman"/>
          <w:b w:val="false"/>
          <w:i w:val="false"/>
          <w:color w:val="000000"/>
          <w:sz w:val="28"/>
        </w:rPr>
        <w:t>
      часть девятнадцатую изложить в следующей редакции:</w:t>
      </w:r>
      <w:r>
        <w:br/>
      </w:r>
      <w:r>
        <w:rPr>
          <w:rFonts w:ascii="Times New Roman"/>
          <w:b w:val="false"/>
          <w:i w:val="false"/>
          <w:color w:val="000000"/>
          <w:sz w:val="28"/>
        </w:rPr>
        <w:t>
      «При этом соглашения о финансировании с финансовыми организациями должны быть заключены не позднее 1 января 2012 года и общая сумма займов на 1 января 2011 года (либо на 1 января 2012 года по предприятиям, подавшим заявление на участие в Программе в период с 1 января 2013 года до 1 апреля 2013 года) должна составлять или превышать 4 500 000 000 (четыре миллиарда пятьсот миллионов) тенге (кроме случаев рефинансирования ранее принятых обязательств, возникших не позднее 1 января 2012 года), и по которым должны быть основания, что без реструктуризации их исполнение в будущем будет проблематичным.»;</w:t>
      </w:r>
      <w:r>
        <w:br/>
      </w:r>
      <w:r>
        <w:rPr>
          <w:rFonts w:ascii="Times New Roman"/>
          <w:b w:val="false"/>
          <w:i w:val="false"/>
          <w:color w:val="000000"/>
          <w:sz w:val="28"/>
        </w:rPr>
        <w:t>
</w:t>
      </w:r>
      <w:r>
        <w:rPr>
          <w:rFonts w:ascii="Times New Roman"/>
          <w:b w:val="false"/>
          <w:i w:val="false"/>
          <w:color w:val="000000"/>
          <w:sz w:val="28"/>
        </w:rPr>
        <w:t>
      часть двадцать первую изложить в следующей редакции:</w:t>
      </w:r>
      <w:r>
        <w:br/>
      </w:r>
      <w:r>
        <w:rPr>
          <w:rFonts w:ascii="Times New Roman"/>
          <w:b w:val="false"/>
          <w:i w:val="false"/>
          <w:color w:val="000000"/>
          <w:sz w:val="28"/>
        </w:rPr>
        <w:t>
      «В Программе могут участвовать предприятия, соответствующие вышеуказанным требованиям, к которым применена реабилитационная процедура на основании решения суда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банкротстве».»;</w:t>
      </w:r>
      <w:r>
        <w:br/>
      </w:r>
      <w:r>
        <w:rPr>
          <w:rFonts w:ascii="Times New Roman"/>
          <w:b w:val="false"/>
          <w:i w:val="false"/>
          <w:color w:val="000000"/>
          <w:sz w:val="28"/>
        </w:rPr>
        <w:t>
</w:t>
      </w:r>
      <w:r>
        <w:rPr>
          <w:rFonts w:ascii="Times New Roman"/>
          <w:b w:val="false"/>
          <w:i w:val="false"/>
          <w:color w:val="000000"/>
          <w:sz w:val="28"/>
        </w:rPr>
        <w:t>
      в части двадцать второй:</w:t>
      </w:r>
      <w:r>
        <w:br/>
      </w:r>
      <w:r>
        <w:rPr>
          <w:rFonts w:ascii="Times New Roman"/>
          <w:b w:val="false"/>
          <w:i w:val="false"/>
          <w:color w:val="000000"/>
          <w:sz w:val="28"/>
        </w:rPr>
        <w:t>
</w:t>
      </w:r>
      <w:r>
        <w:rPr>
          <w:rFonts w:ascii="Times New Roman"/>
          <w:b w:val="false"/>
          <w:i w:val="false"/>
          <w:color w:val="000000"/>
          <w:sz w:val="28"/>
        </w:rPr>
        <w:t>
      абзац третий изложить в следующей редакции:</w:t>
      </w:r>
      <w:r>
        <w:br/>
      </w:r>
      <w:r>
        <w:rPr>
          <w:rFonts w:ascii="Times New Roman"/>
          <w:b w:val="false"/>
          <w:i w:val="false"/>
          <w:color w:val="000000"/>
          <w:sz w:val="28"/>
        </w:rPr>
        <w:t>
      «Отраслевые органы - Министерство экономики и бюджетного планирования Республики Казахстан, Министерство регионального развития Республики Казахстан, Министерство индустрии и новых технологий Республики Казахстан, Министерство сельского хозяйства Республики Казахстан, Министерство транспорта и коммуникаций Республики Казахстан, Министерство образования и науки Республики Казахстан, Министерство здравоохранения Республики Казахстан, Министерство культуры и информации Республики Казахстан, Агентство Республики Казахстан по делам спорта и физической культуры и другие.»;</w:t>
      </w:r>
      <w:r>
        <w:br/>
      </w:r>
      <w:r>
        <w:rPr>
          <w:rFonts w:ascii="Times New Roman"/>
          <w:b w:val="false"/>
          <w:i w:val="false"/>
          <w:color w:val="000000"/>
          <w:sz w:val="28"/>
        </w:rPr>
        <w:t>
</w:t>
      </w:r>
      <w:r>
        <w:rPr>
          <w:rFonts w:ascii="Times New Roman"/>
          <w:b w:val="false"/>
          <w:i w:val="false"/>
          <w:color w:val="000000"/>
          <w:sz w:val="28"/>
        </w:rPr>
        <w:t>
      абзац десятый изложить в следующей редакции:</w:t>
      </w:r>
      <w:r>
        <w:br/>
      </w:r>
      <w:r>
        <w:rPr>
          <w:rFonts w:ascii="Times New Roman"/>
          <w:b w:val="false"/>
          <w:i w:val="false"/>
          <w:color w:val="000000"/>
          <w:sz w:val="28"/>
        </w:rPr>
        <w:t>
      «Холдинг – это:</w:t>
      </w:r>
      <w:r>
        <w:br/>
      </w:r>
      <w:r>
        <w:rPr>
          <w:rFonts w:ascii="Times New Roman"/>
          <w:b w:val="false"/>
          <w:i w:val="false"/>
          <w:color w:val="000000"/>
          <w:sz w:val="28"/>
        </w:rPr>
        <w:t>
      группа компаний, независимо от их организационно-правовых форм, более пятидесяти процентов акций (долей участия) которых принадлежат одному собственнику;</w:t>
      </w:r>
      <w:r>
        <w:br/>
      </w:r>
      <w:r>
        <w:rPr>
          <w:rFonts w:ascii="Times New Roman"/>
          <w:b w:val="false"/>
          <w:i w:val="false"/>
          <w:color w:val="000000"/>
          <w:sz w:val="28"/>
        </w:rPr>
        <w:t>
      предприятие и группа компаний, независимо от их организационно-правовых форм, более пятидесяти процентов акций (долей участия) которых принадлежат этому предприятию;</w:t>
      </w:r>
      <w:r>
        <w:br/>
      </w:r>
      <w:r>
        <w:rPr>
          <w:rFonts w:ascii="Times New Roman"/>
          <w:b w:val="false"/>
          <w:i w:val="false"/>
          <w:color w:val="000000"/>
          <w:sz w:val="28"/>
        </w:rPr>
        <w:t>
      группа компаний, независимо от их организационно-правовых форм, объединенных по единой кредитной линии или договором перед одной финансовой организацией.»;</w:t>
      </w:r>
      <w:r>
        <w:br/>
      </w:r>
      <w:r>
        <w:rPr>
          <w:rFonts w:ascii="Times New Roman"/>
          <w:b w:val="false"/>
          <w:i w:val="false"/>
          <w:color w:val="000000"/>
          <w:sz w:val="28"/>
        </w:rPr>
        <w:t>
</w:t>
      </w:r>
      <w:r>
        <w:rPr>
          <w:rFonts w:ascii="Times New Roman"/>
          <w:b w:val="false"/>
          <w:i w:val="false"/>
          <w:color w:val="000000"/>
          <w:sz w:val="28"/>
        </w:rPr>
        <w:t>
      абзац двадцатый изложить в следующей редакции:</w:t>
      </w:r>
      <w:r>
        <w:br/>
      </w:r>
      <w:r>
        <w:rPr>
          <w:rFonts w:ascii="Times New Roman"/>
          <w:b w:val="false"/>
          <w:i w:val="false"/>
          <w:color w:val="000000"/>
          <w:sz w:val="28"/>
        </w:rPr>
        <w:t>
      «Оператор по субсидированию - юридическое лицо, определенное Правительством Республики Казахстан, на которое возложены задачи по:</w:t>
      </w:r>
      <w:r>
        <w:br/>
      </w:r>
      <w:r>
        <w:rPr>
          <w:rFonts w:ascii="Times New Roman"/>
          <w:b w:val="false"/>
          <w:i w:val="false"/>
          <w:color w:val="000000"/>
          <w:sz w:val="28"/>
        </w:rPr>
        <w:t>
      перечислению в финансовые организации денежных средств в рамках субсидирования процентной ставки по кредитам и/или лизинговым операциям, купона по облигациям;</w:t>
      </w:r>
      <w:r>
        <w:br/>
      </w:r>
      <w:r>
        <w:rPr>
          <w:rFonts w:ascii="Times New Roman"/>
          <w:b w:val="false"/>
          <w:i w:val="false"/>
          <w:color w:val="000000"/>
          <w:sz w:val="28"/>
        </w:rPr>
        <w:t>
      мониторингу реализации Программы в части субсидирования процентной ставки.»;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4</w:t>
      </w:r>
      <w:r>
        <w:rPr>
          <w:rFonts w:ascii="Times New Roman"/>
          <w:b w:val="false"/>
          <w:i w:val="false"/>
          <w:color w:val="000000"/>
          <w:sz w:val="28"/>
        </w:rPr>
        <w:t xml:space="preserve"> «Цель, задачи, целевые индикаторы и показатели результатов реализации Программы»: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«Показатели результатов реализации Программы»: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девятую изложить в следующей редакции:</w:t>
      </w:r>
      <w:r>
        <w:br/>
      </w:r>
      <w:r>
        <w:rPr>
          <w:rFonts w:ascii="Times New Roman"/>
          <w:b w:val="false"/>
          <w:i w:val="false"/>
          <w:color w:val="000000"/>
          <w:sz w:val="28"/>
        </w:rPr>
        <w:t>
      «Получив согласие кредиторов на участие в Программе, предприятие обращается в Рабочий орган Совета по оздоровлению с заявлением установленной формы с приложением:</w:t>
      </w:r>
      <w:r>
        <w:br/>
      </w:r>
      <w:r>
        <w:rPr>
          <w:rFonts w:ascii="Times New Roman"/>
          <w:b w:val="false"/>
          <w:i w:val="false"/>
          <w:color w:val="000000"/>
          <w:sz w:val="28"/>
        </w:rPr>
        <w:t>
      копии решения Комитета кредиторов о согласии на участие предприятия в Программе,</w:t>
      </w:r>
      <w:r>
        <w:br/>
      </w:r>
      <w:r>
        <w:rPr>
          <w:rFonts w:ascii="Times New Roman"/>
          <w:b w:val="false"/>
          <w:i w:val="false"/>
          <w:color w:val="000000"/>
          <w:sz w:val="28"/>
        </w:rPr>
        <w:t>
      положительного экспертного заключения,</w:t>
      </w:r>
      <w:r>
        <w:br/>
      </w:r>
      <w:r>
        <w:rPr>
          <w:rFonts w:ascii="Times New Roman"/>
          <w:b w:val="false"/>
          <w:i w:val="false"/>
          <w:color w:val="000000"/>
          <w:sz w:val="28"/>
        </w:rPr>
        <w:t>
      выписки финансовых организаций о наличии задолженности предприятия по состоянию на 1 января 2011 года (либо по состоянию 1 января 2012 года по предприятиям, подавшим заявление на участие в Программе в период с 1 января 2013 года до 1 апреля 2013 года), которая в совокупности должна составлять или превышать сумму 4 500 000 000 (четыре миллиарда пятьсот миллионов) тенге, с подтверждением возможности отнесения выданных займов (кредитов) к проблемным, либо сведения регистратора о держателях облигаций,</w:t>
      </w:r>
      <w:r>
        <w:br/>
      </w:r>
      <w:r>
        <w:rPr>
          <w:rFonts w:ascii="Times New Roman"/>
          <w:b w:val="false"/>
          <w:i w:val="false"/>
          <w:color w:val="000000"/>
          <w:sz w:val="28"/>
        </w:rPr>
        <w:t>
      нотариально заверенной копии устава предприятия и выписки от регистратора акционерного общества, выданной не ранее одного месяца, предшествующего дате подачи заявления на участие.»;</w:t>
      </w:r>
      <w:r>
        <w:br/>
      </w:r>
      <w:r>
        <w:rPr>
          <w:rFonts w:ascii="Times New Roman"/>
          <w:b w:val="false"/>
          <w:i w:val="false"/>
          <w:color w:val="000000"/>
          <w:sz w:val="28"/>
        </w:rPr>
        <w:t>
</w:t>
      </w:r>
      <w:r>
        <w:rPr>
          <w:rFonts w:ascii="Times New Roman"/>
          <w:b w:val="false"/>
          <w:i w:val="false"/>
          <w:color w:val="000000"/>
          <w:sz w:val="28"/>
        </w:rPr>
        <w:t>
      часть одиннадцатую изложить в следующей редакции:</w:t>
      </w:r>
      <w:r>
        <w:br/>
      </w:r>
      <w:r>
        <w:rPr>
          <w:rFonts w:ascii="Times New Roman"/>
          <w:b w:val="false"/>
          <w:i w:val="false"/>
          <w:color w:val="000000"/>
          <w:sz w:val="28"/>
        </w:rPr>
        <w:t>
      «Прием заявлений потенциальных участников осуществляется до 1 апреля 2013 года. В случае, если в Программе участвует несколько предприятий, соответствующих требованиям Программы и входящих в холдинг, документы на получение экспертного заключения и участие могут подаваться от управляющей ими компанией.»;</w:t>
      </w:r>
      <w:r>
        <w:br/>
      </w:r>
      <w:r>
        <w:rPr>
          <w:rFonts w:ascii="Times New Roman"/>
          <w:b w:val="false"/>
          <w:i w:val="false"/>
          <w:color w:val="000000"/>
          <w:sz w:val="28"/>
        </w:rPr>
        <w:t>
</w:t>
      </w:r>
      <w:r>
        <w:rPr>
          <w:rFonts w:ascii="Times New Roman"/>
          <w:b w:val="false"/>
          <w:i w:val="false"/>
          <w:color w:val="000000"/>
          <w:sz w:val="28"/>
        </w:rPr>
        <w:t>
      часть пятнадцатую изложить в следующей редакции:</w:t>
      </w:r>
      <w:r>
        <w:br/>
      </w:r>
      <w:r>
        <w:rPr>
          <w:rFonts w:ascii="Times New Roman"/>
          <w:b w:val="false"/>
          <w:i w:val="false"/>
          <w:color w:val="000000"/>
          <w:sz w:val="28"/>
        </w:rPr>
        <w:t>
      «Рабочий орган Совета по оздоровлению рассматривает представленные документы на предмет их полноты в течение 5 рабочих дней и выносит решение о допуске или отклонении предприятия к участию во втором этапе.»;</w:t>
      </w:r>
      <w:r>
        <w:br/>
      </w:r>
      <w:r>
        <w:rPr>
          <w:rFonts w:ascii="Times New Roman"/>
          <w:b w:val="false"/>
          <w:i w:val="false"/>
          <w:color w:val="000000"/>
          <w:sz w:val="28"/>
        </w:rPr>
        <w:t>
</w:t>
      </w:r>
      <w:r>
        <w:rPr>
          <w:rFonts w:ascii="Times New Roman"/>
          <w:b w:val="false"/>
          <w:i w:val="false"/>
          <w:color w:val="000000"/>
          <w:sz w:val="28"/>
        </w:rPr>
        <w:t>
      подпункт 1) дополнить частью четвертой следующего содержания:</w:t>
      </w:r>
      <w:r>
        <w:br/>
      </w:r>
      <w:r>
        <w:rPr>
          <w:rFonts w:ascii="Times New Roman"/>
          <w:b w:val="false"/>
          <w:i w:val="false"/>
          <w:color w:val="000000"/>
          <w:sz w:val="28"/>
        </w:rPr>
        <w:t>
      «Софинансирование из республиканского бюджета на оплату стоимости услуг консультанта для разработки плана оздоровления осуществляется в рамках средств, предусмотренных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часть третью подпункта 2) изложить в следующей редакции:</w:t>
      </w:r>
      <w:r>
        <w:br/>
      </w:r>
      <w:r>
        <w:rPr>
          <w:rFonts w:ascii="Times New Roman"/>
          <w:b w:val="false"/>
          <w:i w:val="false"/>
          <w:color w:val="000000"/>
          <w:sz w:val="28"/>
        </w:rPr>
        <w:t xml:space="preserve">
      «Уполномоченный орган в течение трех рабочих дней со дня получения заявки на осуществление софинансирования оплаты стоимости услуг консультанта из республиканского бюджета, формирует счет к оплате на основании суммы, указанной в заявке, и осуществляет перечисление суммы денежных средств на банковский счет консультанта. В случае, если средства на осуществление софинансирования в соответствующем финансовом году не предусмотрены, заявка подлежит возврату потенциальному участнику в течение трех рабочих дней со дня ее получения с указанием причины возврата.»; </w:t>
      </w:r>
      <w:r>
        <w:br/>
      </w:r>
      <w:r>
        <w:rPr>
          <w:rFonts w:ascii="Times New Roman"/>
          <w:b w:val="false"/>
          <w:i w:val="false"/>
          <w:color w:val="000000"/>
          <w:sz w:val="28"/>
        </w:rPr>
        <w:t>
</w:t>
      </w:r>
      <w:r>
        <w:rPr>
          <w:rFonts w:ascii="Times New Roman"/>
          <w:b w:val="false"/>
          <w:i w:val="false"/>
          <w:color w:val="000000"/>
          <w:sz w:val="28"/>
        </w:rPr>
        <w:t>
      абзац первый части первой подпункта 3) изложить в следующей редакции:</w:t>
      </w:r>
      <w:r>
        <w:br/>
      </w:r>
      <w:r>
        <w:rPr>
          <w:rFonts w:ascii="Times New Roman"/>
          <w:b w:val="false"/>
          <w:i w:val="false"/>
          <w:color w:val="000000"/>
          <w:sz w:val="28"/>
        </w:rPr>
        <w:t>
      «3) План реабилитации (оздоровления) разрабатывается консультантом или потенциальным участником совместно с основным кредитором и утверждается Комитетом кредиторов в срок, не превышающий 6 месяцев, соответственно со дня заключения договора на разработку плана реабилитации (оздоровления) или допуска к участию во втором этапе, но не позднее 1 июля 2013 года, который включает в себя:»;</w:t>
      </w:r>
      <w:r>
        <w:br/>
      </w:r>
      <w:r>
        <w:rPr>
          <w:rFonts w:ascii="Times New Roman"/>
          <w:b w:val="false"/>
          <w:i w:val="false"/>
          <w:color w:val="000000"/>
          <w:sz w:val="28"/>
        </w:rPr>
        <w:t>
</w:t>
      </w:r>
      <w:r>
        <w:rPr>
          <w:rFonts w:ascii="Times New Roman"/>
          <w:b w:val="false"/>
          <w:i w:val="false"/>
          <w:color w:val="000000"/>
          <w:sz w:val="28"/>
        </w:rPr>
        <w:t>
      абзац первый части первой подпункта 6) изложить в следующей редакции:</w:t>
      </w:r>
      <w:r>
        <w:br/>
      </w:r>
      <w:r>
        <w:rPr>
          <w:rFonts w:ascii="Times New Roman"/>
          <w:b w:val="false"/>
          <w:i w:val="false"/>
          <w:color w:val="000000"/>
          <w:sz w:val="28"/>
        </w:rPr>
        <w:t>
      «6) Рабочий орган Совета по оздоровлению до направления досье потенциальных участников на рассмотрение Совета по оздоровлению:»;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второй:</w:t>
      </w:r>
      <w:r>
        <w:br/>
      </w:r>
      <w:r>
        <w:rPr>
          <w:rFonts w:ascii="Times New Roman"/>
          <w:b w:val="false"/>
          <w:i w:val="false"/>
          <w:color w:val="000000"/>
          <w:sz w:val="28"/>
        </w:rPr>
        <w:t>
</w:t>
      </w:r>
      <w:r>
        <w:rPr>
          <w:rFonts w:ascii="Times New Roman"/>
          <w:b w:val="false"/>
          <w:i w:val="false"/>
          <w:color w:val="000000"/>
          <w:sz w:val="28"/>
        </w:rPr>
        <w:t>
      абзац первый подпункта 1) изложить в следующей редакции:</w:t>
      </w:r>
      <w:r>
        <w:br/>
      </w:r>
      <w:r>
        <w:rPr>
          <w:rFonts w:ascii="Times New Roman"/>
          <w:b w:val="false"/>
          <w:i w:val="false"/>
          <w:color w:val="000000"/>
          <w:sz w:val="28"/>
        </w:rPr>
        <w:t>
      «1) поддержка со стороны кредиторов (меры должны быть оказаны в период реализации Программы):»;</w:t>
      </w:r>
      <w:r>
        <w:br/>
      </w:r>
      <w:r>
        <w:rPr>
          <w:rFonts w:ascii="Times New Roman"/>
          <w:b w:val="false"/>
          <w:i w:val="false"/>
          <w:color w:val="000000"/>
          <w:sz w:val="28"/>
        </w:rPr>
        <w:t>
</w:t>
      </w:r>
      <w:r>
        <w:rPr>
          <w:rFonts w:ascii="Times New Roman"/>
          <w:b w:val="false"/>
          <w:i w:val="false"/>
          <w:color w:val="000000"/>
          <w:sz w:val="28"/>
        </w:rPr>
        <w:t>
      абзац второй подпункта 3) изложить в следующей редакции:</w:t>
      </w:r>
      <w:r>
        <w:br/>
      </w:r>
      <w:r>
        <w:rPr>
          <w:rFonts w:ascii="Times New Roman"/>
          <w:b w:val="false"/>
          <w:i w:val="false"/>
          <w:color w:val="000000"/>
          <w:sz w:val="28"/>
        </w:rPr>
        <w:t>
      «субсидирование процентной ставки по уже имеющимся займам (кредитам) и/или лизинговым операциям, купона по облигациям;»;</w:t>
      </w:r>
      <w:r>
        <w:br/>
      </w:r>
      <w:r>
        <w:rPr>
          <w:rFonts w:ascii="Times New Roman"/>
          <w:b w:val="false"/>
          <w:i w:val="false"/>
          <w:color w:val="000000"/>
          <w:sz w:val="28"/>
        </w:rPr>
        <w:t>
</w:t>
      </w:r>
      <w:r>
        <w:rPr>
          <w:rFonts w:ascii="Times New Roman"/>
          <w:b w:val="false"/>
          <w:i w:val="false"/>
          <w:color w:val="000000"/>
          <w:sz w:val="28"/>
        </w:rPr>
        <w:t>
      часть пятую изложить в следующей редакции:</w:t>
      </w:r>
      <w:r>
        <w:br/>
      </w:r>
      <w:r>
        <w:rPr>
          <w:rFonts w:ascii="Times New Roman"/>
          <w:b w:val="false"/>
          <w:i w:val="false"/>
          <w:color w:val="000000"/>
          <w:sz w:val="28"/>
        </w:rPr>
        <w:t>
      «После получения решения суда о введении ускоренной реабилитационной процедуры, предусматривающей мораторий на подачу исков кредиторов о признании предприятия банкротом, и его представления в Рабочий орган Совета по оздоровлению, меры государственной поддержки денежного характера в соответствии с законодательством Республики Казахстан фиксируются и оформляются в договорах, заключаемых между уполномоченным органом, участником Программы, собственником (собственниками), оператором по субсидированию и кредиторами, с приложением графиков погашений.»;</w:t>
      </w:r>
      <w:r>
        <w:br/>
      </w:r>
      <w:r>
        <w:rPr>
          <w:rFonts w:ascii="Times New Roman"/>
          <w:b w:val="false"/>
          <w:i w:val="false"/>
          <w:color w:val="000000"/>
          <w:sz w:val="28"/>
        </w:rPr>
        <w:t>
</w:t>
      </w:r>
      <w:r>
        <w:rPr>
          <w:rFonts w:ascii="Times New Roman"/>
          <w:b w:val="false"/>
          <w:i w:val="false"/>
          <w:color w:val="000000"/>
          <w:sz w:val="28"/>
        </w:rPr>
        <w:t>
      дополнить частью шестой следующего содержания:</w:t>
      </w:r>
      <w:r>
        <w:br/>
      </w:r>
      <w:r>
        <w:rPr>
          <w:rFonts w:ascii="Times New Roman"/>
          <w:b w:val="false"/>
          <w:i w:val="false"/>
          <w:color w:val="000000"/>
          <w:sz w:val="28"/>
        </w:rPr>
        <w:t>
      «После подписания договора субсидирования в план реабилитации (оздоровления) вносятся изменения и (или) дополнения с учетом фактических отраженных сумм в графике погашения, являющемся неотъемлемой частью договора субсидирования, которые утверждаются решением комитета кредиторов без последующего рассмотрения и одобрения его на Совете по оздоровлению. При этом меры со стороны кредиторов и собственников не подлежат уменьшению.»;</w:t>
      </w:r>
      <w:r>
        <w:br/>
      </w:r>
      <w:r>
        <w:rPr>
          <w:rFonts w:ascii="Times New Roman"/>
          <w:b w:val="false"/>
          <w:i w:val="false"/>
          <w:color w:val="000000"/>
          <w:sz w:val="28"/>
        </w:rPr>
        <w:t>
</w:t>
      </w:r>
      <w:r>
        <w:rPr>
          <w:rFonts w:ascii="Times New Roman"/>
          <w:b w:val="false"/>
          <w:i w:val="false"/>
          <w:color w:val="000000"/>
          <w:sz w:val="28"/>
        </w:rPr>
        <w:t>
      часть девятую изложить в следующей редакции:</w:t>
      </w:r>
      <w:r>
        <w:br/>
      </w:r>
      <w:r>
        <w:rPr>
          <w:rFonts w:ascii="Times New Roman"/>
          <w:b w:val="false"/>
          <w:i w:val="false"/>
          <w:color w:val="000000"/>
          <w:sz w:val="28"/>
        </w:rPr>
        <w:t>
      «Планирование денежных средств, необходимых для финансирования субсидирования процентной ставки по кредитам и/или лизинговым операциям, купона по облигациям, а также администрирование бюджетных программ по государственной поддержке и софинансированию оплаты стоимости услуг консультантов осуществляются уполномоченным органом.»;</w:t>
      </w:r>
      <w:r>
        <w:br/>
      </w:r>
      <w:r>
        <w:rPr>
          <w:rFonts w:ascii="Times New Roman"/>
          <w:b w:val="false"/>
          <w:i w:val="false"/>
          <w:color w:val="000000"/>
          <w:sz w:val="28"/>
        </w:rPr>
        <w:t>
</w:t>
      </w:r>
      <w:r>
        <w:rPr>
          <w:rFonts w:ascii="Times New Roman"/>
          <w:b w:val="false"/>
          <w:i w:val="false"/>
          <w:color w:val="000000"/>
          <w:sz w:val="28"/>
        </w:rPr>
        <w:t>
      часть одиннадцатую изложить в следующей редакции:</w:t>
      </w:r>
      <w:r>
        <w:br/>
      </w:r>
      <w:r>
        <w:rPr>
          <w:rFonts w:ascii="Times New Roman"/>
          <w:b w:val="false"/>
          <w:i w:val="false"/>
          <w:color w:val="000000"/>
          <w:sz w:val="28"/>
        </w:rPr>
        <w:t>
      «Субсидирование процентной ставки осуществляется только по кредитам и/или лизинговым операциям, купона по облигациям. При этом, соглашения о финансировании должны быть заключены не позднее 1 января 2012 года и общая сумма займов на 1 января 2011 года (либо на 1 января 2012 года по предприятиям, подавшим заявление на участие в Программе в период с 1 января 2013 года до 1 апреля 2013 года) должна составлять или превышать 4 500 000 000 (четыре миллиарда пятьсот миллионов) тенге, кроме случаев рефинансирования ранее принятых обязательств, возникших не позднее 1 января 2012 года (курс валют на весь период реализации Программы остается фиксированным на уровне значений 1 января 2011 года).»;</w:t>
      </w:r>
      <w:r>
        <w:br/>
      </w:r>
      <w:r>
        <w:rPr>
          <w:rFonts w:ascii="Times New Roman"/>
          <w:b w:val="false"/>
          <w:i w:val="false"/>
          <w:color w:val="000000"/>
          <w:sz w:val="28"/>
        </w:rPr>
        <w:t>
</w:t>
      </w:r>
      <w:r>
        <w:rPr>
          <w:rFonts w:ascii="Times New Roman"/>
          <w:b w:val="false"/>
          <w:i w:val="false"/>
          <w:color w:val="000000"/>
          <w:sz w:val="28"/>
        </w:rPr>
        <w:t>
      часть тринадцатую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части первую, вторую, третью и четвертую изложить в следующей редакции:</w:t>
      </w:r>
      <w:r>
        <w:br/>
      </w:r>
      <w:r>
        <w:rPr>
          <w:rFonts w:ascii="Times New Roman"/>
          <w:b w:val="false"/>
          <w:i w:val="false"/>
          <w:color w:val="000000"/>
          <w:sz w:val="28"/>
        </w:rPr>
        <w:t>
      «6. В целях эффективной реализации планов реабилитаций (оздоровлений) участников Программы Рабочий орган Совета по оздоровлению в соответствии с законодательством о государственных закупках на конкурсной основе привлекает консалтинговые компании по мониторингу для проведения комплексного и систематического мониторинга реализации планов реабилитаций (оздоровлений) участников Программы.</w:t>
      </w:r>
      <w:r>
        <w:br/>
      </w:r>
      <w:r>
        <w:rPr>
          <w:rFonts w:ascii="Times New Roman"/>
          <w:b w:val="false"/>
          <w:i w:val="false"/>
          <w:color w:val="000000"/>
          <w:sz w:val="28"/>
        </w:rPr>
        <w:t>
      Мониторинг реализации планов реабилитаций (оздоровлений) участников Программы проводится ежегодно в течение всего срока реализации плана реабилитации (оздоровления), начиная со второго года его реализации.</w:t>
      </w:r>
      <w:r>
        <w:br/>
      </w:r>
      <w:r>
        <w:rPr>
          <w:rFonts w:ascii="Times New Roman"/>
          <w:b w:val="false"/>
          <w:i w:val="false"/>
          <w:color w:val="000000"/>
          <w:sz w:val="28"/>
        </w:rPr>
        <w:t>
      Результаты мониторинга реализации планов реабилитаций (оздоровлений) должны содержать выводы по исполнению заинтересованными сторонами плана реабилитации (оздоровления), достижению результатов плана реабилитации (оздоровления), а в случае неисполнения (недостижения) их, указываются причины и даются рекомендации по исправлению ситуации, исполнению обязательств сторон в будущий период.</w:t>
      </w:r>
      <w:r>
        <w:br/>
      </w:r>
      <w:r>
        <w:rPr>
          <w:rFonts w:ascii="Times New Roman"/>
          <w:b w:val="false"/>
          <w:i w:val="false"/>
          <w:color w:val="000000"/>
          <w:sz w:val="28"/>
        </w:rPr>
        <w:t>
      Результаты мониторинга реализации планов реабилитаций (оздоровлений) участников Программы выносятся Рабочим органом на Совет по оздоровлению не реже одного раза в год.</w:t>
      </w:r>
      <w:r>
        <w:br/>
      </w:r>
      <w:r>
        <w:rPr>
          <w:rFonts w:ascii="Times New Roman"/>
          <w:b w:val="false"/>
          <w:i w:val="false"/>
          <w:color w:val="000000"/>
          <w:sz w:val="28"/>
        </w:rPr>
        <w:t>
      На основании результатов мониторинга реализации планов реабилитаций (оздоровлений), в том числе рекомендаций по исправлению ситуации, исполнению обязательств сторон в будущий период, Совет по оздоровлению выносит решение об исключении (неисключении) участника из Программы.</w:t>
      </w:r>
      <w:r>
        <w:br/>
      </w:r>
      <w:r>
        <w:rPr>
          <w:rFonts w:ascii="Times New Roman"/>
          <w:b w:val="false"/>
          <w:i w:val="false"/>
          <w:color w:val="000000"/>
          <w:sz w:val="28"/>
        </w:rPr>
        <w:t>
      Решение Совета по оздоровлению доводится до участника Программы в течение 15 рабочих дней с момента его принятия.»;</w:t>
      </w:r>
      <w:r>
        <w:br/>
      </w:r>
      <w:r>
        <w:rPr>
          <w:rFonts w:ascii="Times New Roman"/>
          <w:b w:val="false"/>
          <w:i w:val="false"/>
          <w:color w:val="000000"/>
          <w:sz w:val="28"/>
        </w:rPr>
        <w:t>
</w:t>
      </w:r>
      <w:r>
        <w:rPr>
          <w:rFonts w:ascii="Times New Roman"/>
          <w:b w:val="false"/>
          <w:i w:val="false"/>
          <w:color w:val="000000"/>
          <w:sz w:val="28"/>
        </w:rPr>
        <w:t>
      часть седьмую изложить в следующей редакции:</w:t>
      </w:r>
      <w:r>
        <w:br/>
      </w:r>
      <w:r>
        <w:rPr>
          <w:rFonts w:ascii="Times New Roman"/>
          <w:b w:val="false"/>
          <w:i w:val="false"/>
          <w:color w:val="000000"/>
          <w:sz w:val="28"/>
        </w:rPr>
        <w:t>
      «В ходе реализации Программы оператор по субсидированию на ежемесячной основе проводит мониторинг реализации Программы в рамках субсидирования процентной ставки и представляет в Рабочий орган Совета по оздоровлению информацию по формам и срокам, установленным Правилами субсидирования процентной ставки вознаграждения в рамках Программы посткризисного восстановления (оздоровление конкурентоспособных предприятий),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8 сентября 2011 года № 1031.»;</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7</w:t>
      </w:r>
      <w:r>
        <w:rPr>
          <w:rFonts w:ascii="Times New Roman"/>
          <w:b w:val="false"/>
          <w:i w:val="false"/>
          <w:color w:val="000000"/>
          <w:sz w:val="28"/>
        </w:rPr>
        <w:t xml:space="preserve"> «План мероприятий по реализации Программы»:</w:t>
      </w:r>
      <w:r>
        <w:br/>
      </w:r>
      <w:r>
        <w:rPr>
          <w:rFonts w:ascii="Times New Roman"/>
          <w:b w:val="false"/>
          <w:i w:val="false"/>
          <w:color w:val="000000"/>
          <w:sz w:val="28"/>
        </w:rPr>
        <w:t>
</w:t>
      </w:r>
      <w:r>
        <w:rPr>
          <w:rFonts w:ascii="Times New Roman"/>
          <w:b w:val="false"/>
          <w:i w:val="false"/>
          <w:color w:val="000000"/>
          <w:sz w:val="28"/>
        </w:rPr>
        <w:t>
      строку, порядковый номер 10, изложить в следующей редакции: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3617"/>
        <w:gridCol w:w="3033"/>
        <w:gridCol w:w="3263"/>
        <w:gridCol w:w="2139"/>
      </w:tblGrid>
      <w:tr>
        <w:trPr>
          <w:trHeight w:val="76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заявлений</w:t>
            </w:r>
            <w:r>
              <w:br/>
            </w:r>
            <w:r>
              <w:rPr>
                <w:rFonts w:ascii="Times New Roman"/>
                <w:b w:val="false"/>
                <w:i w:val="false"/>
                <w:color w:val="000000"/>
                <w:sz w:val="20"/>
              </w:rPr>
              <w:t>
</w:t>
            </w:r>
            <w:r>
              <w:rPr>
                <w:rFonts w:ascii="Times New Roman"/>
                <w:b w:val="false"/>
                <w:i w:val="false"/>
                <w:color w:val="000000"/>
                <w:sz w:val="20"/>
              </w:rPr>
              <w:t>потенциальных участников</w:t>
            </w:r>
            <w:r>
              <w:br/>
            </w:r>
            <w:r>
              <w:rPr>
                <w:rFonts w:ascii="Times New Roman"/>
                <w:b w:val="false"/>
                <w:i w:val="false"/>
                <w:color w:val="000000"/>
                <w:sz w:val="20"/>
              </w:rPr>
              <w:t>
</w:t>
            </w:r>
            <w:r>
              <w:rPr>
                <w:rFonts w:ascii="Times New Roman"/>
                <w:b w:val="false"/>
                <w:i w:val="false"/>
                <w:color w:val="000000"/>
                <w:sz w:val="20"/>
              </w:rPr>
              <w:t>Программы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орган (МФ),</w:t>
            </w:r>
            <w:r>
              <w:br/>
            </w:r>
            <w:r>
              <w:rPr>
                <w:rFonts w:ascii="Times New Roman"/>
                <w:b w:val="false"/>
                <w:i w:val="false"/>
                <w:color w:val="000000"/>
                <w:sz w:val="20"/>
              </w:rPr>
              <w:t>
</w:t>
            </w:r>
            <w:r>
              <w:rPr>
                <w:rFonts w:ascii="Times New Roman"/>
                <w:b w:val="false"/>
                <w:i w:val="false"/>
                <w:color w:val="000000"/>
                <w:sz w:val="20"/>
              </w:rPr>
              <w:t>потенциальные</w:t>
            </w:r>
            <w:r>
              <w:br/>
            </w:r>
            <w:r>
              <w:rPr>
                <w:rFonts w:ascii="Times New Roman"/>
                <w:b w:val="false"/>
                <w:i w:val="false"/>
                <w:color w:val="000000"/>
                <w:sz w:val="20"/>
              </w:rPr>
              <w:t>
</w:t>
            </w:r>
            <w:r>
              <w:rPr>
                <w:rFonts w:ascii="Times New Roman"/>
                <w:b w:val="false"/>
                <w:i w:val="false"/>
                <w:color w:val="000000"/>
                <w:sz w:val="20"/>
              </w:rPr>
              <w:t>участники</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заявление на участие</w:t>
            </w:r>
            <w:r>
              <w:br/>
            </w:r>
            <w:r>
              <w:rPr>
                <w:rFonts w:ascii="Times New Roman"/>
                <w:b w:val="false"/>
                <w:i w:val="false"/>
                <w:color w:val="000000"/>
                <w:sz w:val="20"/>
              </w:rPr>
              <w:t>
</w:t>
            </w:r>
            <w:r>
              <w:rPr>
                <w:rFonts w:ascii="Times New Roman"/>
                <w:b w:val="false"/>
                <w:i w:val="false"/>
                <w:color w:val="000000"/>
                <w:sz w:val="20"/>
              </w:rPr>
              <w:t>в Программе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апреля 2013 года</w:t>
            </w:r>
          </w:p>
        </w:tc>
      </w:tr>
    </w:tbl>
    <w:p>
      <w:pPr>
        <w:spacing w:after="0"/>
        <w:ind w:left="0"/>
        <w:jc w:val="both"/>
      </w:pPr>
      <w:r>
        <w:rPr>
          <w:rFonts w:ascii="Times New Roman"/>
          <w:b w:val="false"/>
          <w:i w:val="false"/>
          <w:color w:val="000000"/>
          <w:sz w:val="28"/>
        </w:rPr>
        <w:t>                                                                  »;</w:t>
      </w:r>
    </w:p>
    <w:bookmarkStart w:name="z40" w:id="4"/>
    <w:p>
      <w:pPr>
        <w:spacing w:after="0"/>
        <w:ind w:left="0"/>
        <w:jc w:val="both"/>
      </w:pPr>
      <w:r>
        <w:rPr>
          <w:rFonts w:ascii="Times New Roman"/>
          <w:b w:val="false"/>
          <w:i w:val="false"/>
          <w:color w:val="000000"/>
          <w:sz w:val="28"/>
        </w:rPr>
        <w:t>
      строку, порядковый номер 16, изложить в следующей редакции:</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3617"/>
        <w:gridCol w:w="3033"/>
        <w:gridCol w:w="3263"/>
        <w:gridCol w:w="2139"/>
      </w:tblGrid>
      <w:tr>
        <w:trPr>
          <w:trHeight w:val="76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реализации планов реабилитаций (оздоровлений) участников</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Консалтинговые организации</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информации Совету по оздоровлению</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(со второго года)</w:t>
            </w:r>
          </w:p>
        </w:tc>
      </w:tr>
    </w:tbl>
    <w:p>
      <w:pPr>
        <w:spacing w:after="0"/>
        <w:ind w:left="0"/>
        <w:jc w:val="both"/>
      </w:pPr>
      <w:r>
        <w:rPr>
          <w:rFonts w:ascii="Times New Roman"/>
          <w:b w:val="false"/>
          <w:i w:val="false"/>
          <w:color w:val="000000"/>
          <w:sz w:val="28"/>
        </w:rPr>
        <w:t>                                                                   ».</w:t>
      </w:r>
    </w:p>
    <w:bookmarkStart w:name="z41" w:id="5"/>
    <w:p>
      <w:pPr>
        <w:spacing w:after="0"/>
        <w:ind w:left="0"/>
        <w:jc w:val="both"/>
      </w:pPr>
      <w:r>
        <w:rPr>
          <w:rFonts w:ascii="Times New Roman"/>
          <w:b w:val="false"/>
          <w:i w:val="false"/>
          <w:color w:val="000000"/>
          <w:sz w:val="28"/>
        </w:rPr>
        <w:t>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17 июня 2011 года № 660 «О создании Совета по оздоровлению»: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Положении</w:t>
      </w:r>
      <w:r>
        <w:rPr>
          <w:rFonts w:ascii="Times New Roman"/>
          <w:b w:val="false"/>
          <w:i w:val="false"/>
          <w:color w:val="000000"/>
          <w:sz w:val="28"/>
        </w:rPr>
        <w:t xml:space="preserve"> о Совете по оздоровлению,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принимает решение об исключении участников из Программы:</w:t>
      </w:r>
      <w:r>
        <w:br/>
      </w:r>
      <w:r>
        <w:rPr>
          <w:rFonts w:ascii="Times New Roman"/>
          <w:b w:val="false"/>
          <w:i w:val="false"/>
          <w:color w:val="000000"/>
          <w:sz w:val="28"/>
        </w:rPr>
        <w:t>
      в случае непредставления в Рабочий орган решения суда о введении моратория на подачу исков кредиторов о признании предприятия банкротом;</w:t>
      </w:r>
      <w:r>
        <w:br/>
      </w:r>
      <w:r>
        <w:rPr>
          <w:rFonts w:ascii="Times New Roman"/>
          <w:b w:val="false"/>
          <w:i w:val="false"/>
          <w:color w:val="000000"/>
          <w:sz w:val="28"/>
        </w:rPr>
        <w:t>
      в случае выявления в ходе мониторинга реализации Программы в части субсидирования неуплаты участником просроченных платежей по кредиту, лизинговым операциям или купону по облигациям, в том числе не субсидируемой части ставки вознаграждения по графику погашения, свыше девяноста календарных дней;»;</w:t>
      </w:r>
      <w:r>
        <w:br/>
      </w:r>
      <w:r>
        <w:rPr>
          <w:rFonts w:ascii="Times New Roman"/>
          <w:b w:val="false"/>
          <w:i w:val="false"/>
          <w:color w:val="000000"/>
          <w:sz w:val="28"/>
        </w:rPr>
        <w:t>
</w:t>
      </w:r>
      <w:r>
        <w:rPr>
          <w:rFonts w:ascii="Times New Roman"/>
          <w:b w:val="false"/>
          <w:i w:val="false"/>
          <w:color w:val="000000"/>
          <w:sz w:val="28"/>
        </w:rPr>
        <w:t>
      дополнить подпунктом 4-1) следующего содержания:</w:t>
      </w:r>
      <w:r>
        <w:br/>
      </w:r>
      <w:r>
        <w:rPr>
          <w:rFonts w:ascii="Times New Roman"/>
          <w:b w:val="false"/>
          <w:i w:val="false"/>
          <w:color w:val="000000"/>
          <w:sz w:val="28"/>
        </w:rPr>
        <w:t>
      «4-1) на основании результатов мониторинга реализации планов реабилитаций (оздоровлений), в том числе рекомендаций по исправлению ситуации, исполнению обязательств сторон в будущий период, принимает решение об исключении (неисключении) участников из Программы;»;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Совет рассматривает материалы в течение 15 рабочих дней со дня внесения их Рабочим органом Совета и принимает решение.».</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27 июня 2011 года № 711 «Об утверждении Правил предоставления отраслевыми органами экспертного заключения на соответствие предприятия требованиям Программы посткризисного восстановления (оздоровление конкурентоспособных предприятий)» (САПП Республики Казахстан, 2011 г., № 43, ст. 569):</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отраслевыми органами экспертного заключения на соответствие предприятия требованиям Программы посткризисного восстановления (оздоровление конкурентоспособных предприятий),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отраслевые органы - Министерство экономики и бюджетного планирования Республики Казахстан, Министерство регионального развития Республики Казахстан, Министерство индустрии и новых технологий Республики Казахстан, Министерство сельского хозяйства Республики Казахстан, Министерство транспорта и коммуникаций Республики Казахстан, Министерство образования и науки Республики Казахстан, Министерство здравоохранения Республики Казахстан, Министерство культуры и информации Республики Казахстан, Агентство Республики Казахстан по делам спорта и физической культуры и другие.».</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9 июля 2011 года № 783 «Об утверждении Правил софинансирования из республиканского бюджета оплаты услуг консультантов в рамках Программы посткризисного восстановления (оздоровление конкурентоспособных предприятий) и внесения дополнения в постановление Правительства Республики Казахстан от 4 марта 2011 года № 225 «Об утверждении Программы посткризисного восстановления (оздоровление конкурентоспособных предприятий)» (САПП Республики Казахстан, 2011 г., № 46, ст. 621):</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софинансирования из республиканского бюджета оплаты услуг консультантов в рамках Программы посткризисного восстановления (оздоровление конкурентоспособных предприятий),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дополнить пунктом 3-1 следующего содержания:</w:t>
      </w:r>
      <w:r>
        <w:br/>
      </w:r>
      <w:r>
        <w:rPr>
          <w:rFonts w:ascii="Times New Roman"/>
          <w:b w:val="false"/>
          <w:i w:val="false"/>
          <w:color w:val="000000"/>
          <w:sz w:val="28"/>
        </w:rPr>
        <w:t>
      «3-1. Софинансирование из республиканского бюджета на оплату стоимости услуг консультанта для разработки плана оздоровления осуществляется в рамках средств, предусмотренных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Уполномоченный орган в течение трех рабочих дней со дня получения заявки на осуществление софинансирования оплаты стоимости услуг консультанта из республиканского бюджета формирует счет к оплате на основании суммы, указанной в заявке, и осуществляет перечисление суммы денежных средств на банковский счет консультанта. В случае, если средства на осуществление софинансирования в соответствующем финансовом году не предусмотрены, уполномоченный орган возвращает заявку потенциальному участнику в течение трех рабочих дней со дня ее получения с указанием причины возврата.».</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8 сентября 2011 года № 1031 «Об утверждении Правил субсидирования процентной ставки вознаграждения в рамках Программы посткризисного восстановления (оздоровление конкурентоспособных предприятий) и внесении дополнения в постановление Правительства Республики Казахстан от 4 марта 2011 года № 225 «Об утверждении Программы посткризисного восстановления (оздоровление конкурентоспособных предприятий)» (САПП Республики Казахстан, 2011 г., № 53, ст. 755):</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субсидирования процентной ставки вознаграждения в рамках Программы посткризисного восстановления (оздоровление конкурентоспособных предприятий),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Настоящие Правила субсидирования процентной ставки вознаграждения в рамках Программы посткризисного восстановления (оздоровление конкурентоспособных предприятий) (далее - Правила) разработаны в соответствии с Программой посткризисного восстановления (оздоровление конкурентоспособных предприятий),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марта 2011 года № 225 (далее - Программа), и определяют порядок субсидирования процентной ставки вознаграждения по кредитам и (или) лизинговым операциям, купона по облигациям.»;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абзацы восьмой, девятый, десятый, одиннадцатый и двенадцатый изложить в следующей редакции:</w:t>
      </w:r>
      <w:r>
        <w:br/>
      </w:r>
      <w:r>
        <w:rPr>
          <w:rFonts w:ascii="Times New Roman"/>
          <w:b w:val="false"/>
          <w:i w:val="false"/>
          <w:color w:val="000000"/>
          <w:sz w:val="28"/>
        </w:rPr>
        <w:t>
      «оператор по субсидированию - юридическое лицо, определенное Правительством Республики Казахстан, на которое возложены задачи по:</w:t>
      </w:r>
      <w:r>
        <w:br/>
      </w:r>
      <w:r>
        <w:rPr>
          <w:rFonts w:ascii="Times New Roman"/>
          <w:b w:val="false"/>
          <w:i w:val="false"/>
          <w:color w:val="000000"/>
          <w:sz w:val="28"/>
        </w:rPr>
        <w:t>
      перечислению в финансовые организации денежных средств в рамках субсидирования по кредитам и (или) лизинговым операциям, купона по облигациям;</w:t>
      </w:r>
      <w:r>
        <w:br/>
      </w:r>
      <w:r>
        <w:rPr>
          <w:rFonts w:ascii="Times New Roman"/>
          <w:b w:val="false"/>
          <w:i w:val="false"/>
          <w:color w:val="000000"/>
          <w:sz w:val="28"/>
        </w:rPr>
        <w:t>
      мониторингу реализации Программы в части субсидирования;</w:t>
      </w:r>
      <w:r>
        <w:br/>
      </w:r>
      <w:r>
        <w:rPr>
          <w:rFonts w:ascii="Times New Roman"/>
          <w:b w:val="false"/>
          <w:i w:val="false"/>
          <w:color w:val="000000"/>
          <w:sz w:val="28"/>
        </w:rPr>
        <w:t>
      договор субсидирования – письменное соглашение, заключаемое между уполномоченным органом, оператором по субсидированию, собственником (собственниками), финансовой организацией (держателем облигаций) и участником, по условиям которого оператор по субсидированию перечисляет финансовой организации денежные средства, предназначенные для частичного возмещения расходов, уплачиваемых участником финансовой организации в качестве вознаграждения по кредитам и (или) лизинговым операциям, купона по облигациям;</w:t>
      </w:r>
      <w:r>
        <w:br/>
      </w:r>
      <w:r>
        <w:rPr>
          <w:rFonts w:ascii="Times New Roman"/>
          <w:b w:val="false"/>
          <w:i w:val="false"/>
          <w:color w:val="000000"/>
          <w:sz w:val="28"/>
        </w:rPr>
        <w:t>
      субсидирование - форма государственной финансовой поддержки участников, используемая для частичного возмещения расходов, уплачиваемых участником финансовой организации в качестве вознаграждения по кредитам и (или) лизинговым операциям, купона по облигациям;»;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Субсидирование процентной ставки осуществляется только по кредитам и/или лизинговым операциям, купона по облигациям. При этом, соглашения о финансировании должны быть заключены не позднее 1 января 2012 года и общая сумма займов на 1 января 2011 года (либо на 1 января 2012 года по предприятиям, подавшим заявление на участие в Программе в период с 1 января 2013 года до 1 апреля 2013 года) должна составлять или превышать 4 500 000 000 (четыре миллиарда пятьсот миллионов) тенге, кроме случаев рефинансирования ранее принятых обязательств, возникших не позднее 1 января 2012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Участник после получения решения суда о введении ускоренной реабилитационной процедуры, предусматривающей мораторий на подачу исков кредиторов о признании предприятия банкротом, подает оператору по субсидированию заявку на субсидирование по форме, согласно приложению 1 к настоящим Правилам, с приложением копии решения Совета по оздоровлению об одобрении плана реабилитации (оздоровления), проекта договора субсидирования, включая график погашения, составленный на основе графиков погашения займов участника с учетом проведенной реструктуризации в соответствии с планом реабилитации (оздоровления). Суммы субсидий в графике погашения рассчитываются исходя из размера субсидирования процентной ставки вознаграждения, указанного в плане реабилитации (оздоровления) в качестве меры поддержки со стороны государства. При этом, в отношении каждого участника и кредитора общий объем субсидий, предусмотренный графиком погашения, не должен превышать общего объема субсидий, предусмотренного планом реабилитации (оздоровления) в отношении этого участника и кредитора.</w:t>
      </w:r>
      <w:r>
        <w:br/>
      </w:r>
      <w:r>
        <w:rPr>
          <w:rFonts w:ascii="Times New Roman"/>
          <w:b w:val="false"/>
          <w:i w:val="false"/>
          <w:color w:val="000000"/>
          <w:sz w:val="28"/>
        </w:rPr>
        <w:t>
      Заявка на субсидирование может подаваться без представления решения суда о введении ускоренной реабилитационной процедуры, предусматривающей мораторий на подачу исков кредиторов о признании предприятия банкротом, в случаях, установленных Программой.</w:t>
      </w:r>
      <w:r>
        <w:br/>
      </w:r>
      <w:r>
        <w:rPr>
          <w:rFonts w:ascii="Times New Roman"/>
          <w:b w:val="false"/>
          <w:i w:val="false"/>
          <w:color w:val="000000"/>
          <w:sz w:val="28"/>
        </w:rPr>
        <w:t>
      13. В течение десяти рабочих дней со дня подачи участником заявки на субсидирование заключается договор субсидирования по форме, согласно приложению 2 к настоящим Правилам, с приложением графика погашения, на основании которого оператором по субсидированию выплачивается субсидируемая часть процентной ставки вознаграждения, а участником - не субсидируемая часть процентной ставки вознаграждения. Субсидированию подлежит вознаграждение, начисленное с момента заключения договора субсидирования. Финансовая организация в течение одного дня с момента заключения договора субсидирования открывает специальный текущий счет.</w:t>
      </w:r>
      <w:r>
        <w:br/>
      </w:r>
      <w:r>
        <w:rPr>
          <w:rFonts w:ascii="Times New Roman"/>
          <w:b w:val="false"/>
          <w:i w:val="false"/>
          <w:color w:val="000000"/>
          <w:sz w:val="28"/>
        </w:rPr>
        <w:t>
      После подписания договора субсидирования в план реабилитации (оздоровления) вносятся изменения и (или) дополнения с учетом фактических отраженных сумм в графике погашения, являющемся неотъемлемой частью договора субсидирования, которые утверждаются решением комитета кредиторов без последующего рассмотрения и одобрения его на Совете по оздоровлению. При этом меры со стороны кредиторов и собственников не подлежат уменьшению.</w:t>
      </w:r>
      <w:r>
        <w:br/>
      </w:r>
      <w:r>
        <w:rPr>
          <w:rFonts w:ascii="Times New Roman"/>
          <w:b w:val="false"/>
          <w:i w:val="false"/>
          <w:color w:val="000000"/>
          <w:sz w:val="28"/>
        </w:rPr>
        <w:t>
      В график погашения могут быть внесены изменения путем заключения дополнительного соглашения к договору субсидирования в случаях:</w:t>
      </w:r>
      <w:r>
        <w:br/>
      </w:r>
      <w:r>
        <w:rPr>
          <w:rFonts w:ascii="Times New Roman"/>
          <w:b w:val="false"/>
          <w:i w:val="false"/>
          <w:color w:val="000000"/>
          <w:sz w:val="28"/>
        </w:rPr>
        <w:t>
      1) внесения изменений и (или) дополнений в план реабилитации (оздоровления);</w:t>
      </w:r>
      <w:r>
        <w:br/>
      </w:r>
      <w:r>
        <w:rPr>
          <w:rFonts w:ascii="Times New Roman"/>
          <w:b w:val="false"/>
          <w:i w:val="false"/>
          <w:color w:val="000000"/>
          <w:sz w:val="28"/>
        </w:rPr>
        <w:t>
      2) оказания дополнительных мер поддержки со стороны кредиторов и собственников без внесения изменений и (или) дополнений в план реабилитации (оздоровления), в случае, если меры поддержки со стороны государства не увеличиваются.</w:t>
      </w:r>
      <w:r>
        <w:br/>
      </w:r>
      <w:r>
        <w:rPr>
          <w:rFonts w:ascii="Times New Roman"/>
          <w:b w:val="false"/>
          <w:i w:val="false"/>
          <w:color w:val="000000"/>
          <w:sz w:val="28"/>
        </w:rPr>
        <w:t>
      14. Оператор по субсидированию на основании заявки на субсидирование, предоставленной участником Программы, формирует и не позднее следующего дня со дня заключения договора субсидирования представляет в уполномоченный орган заявку по форме, согласно приложению 3 к настоящим Правилам, на перечисление денежных средств для субсидирования.</w:t>
      </w:r>
      <w:r>
        <w:br/>
      </w:r>
      <w:r>
        <w:rPr>
          <w:rFonts w:ascii="Times New Roman"/>
          <w:b w:val="false"/>
          <w:i w:val="false"/>
          <w:color w:val="000000"/>
          <w:sz w:val="28"/>
        </w:rPr>
        <w:t>
      Заявка оператора по субсидированию представляется в уполномоченный орган на сумму, подлежащую перечислению в финансовую организацию в предстоящие три месяца, с учетом положений, предусмотренных пунктом 22-1 настоящих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 Оператор по субсидированию перечисляет денежные средства для субсидирования в финансовые организации на открытые специальные текущие счета ежеквартально авансовыми платежами в срок до первого числа месяца предстоящего квартала, в том числе по мере поступления заявок от участников при условии своевременного перечисления денежных средств уполномоченным органом.</w:t>
      </w:r>
      <w:r>
        <w:br/>
      </w:r>
      <w:r>
        <w:rPr>
          <w:rFonts w:ascii="Times New Roman"/>
          <w:b w:val="false"/>
          <w:i w:val="false"/>
          <w:color w:val="000000"/>
          <w:sz w:val="28"/>
        </w:rPr>
        <w:t>
      Данный порядок не распространяется на субсидирование купона по облигациям, а также на случаи возникновения обязательств по налогам, удерживаемым у источника выплаты.</w:t>
      </w:r>
      <w:r>
        <w:br/>
      </w:r>
      <w:r>
        <w:rPr>
          <w:rFonts w:ascii="Times New Roman"/>
          <w:b w:val="false"/>
          <w:i w:val="false"/>
          <w:color w:val="000000"/>
          <w:sz w:val="28"/>
        </w:rPr>
        <w:t>
      17. При оплате участником не субсидируемой части процентной ставки вознаграждения по кредиту или лизинговым операциям в соответствии с графиком погашения, финансовая организация осуществляет списание денежных средств со специального текущего счета оператора по субсидированию в счет погашения субсидируемой части процентной ставки вознаграждения в день поступления оплаты от участника.</w:t>
      </w:r>
      <w:r>
        <w:br/>
      </w:r>
      <w:r>
        <w:rPr>
          <w:rFonts w:ascii="Times New Roman"/>
          <w:b w:val="false"/>
          <w:i w:val="false"/>
          <w:color w:val="000000"/>
          <w:sz w:val="28"/>
        </w:rPr>
        <w:t>
      При субсидировании купона по облигациям оператор по субсидированию в течение двух рабочих дней с момента получения письменного уведомления держателя облигаций об оплате участником не субсидируемой части процентной ставки вознаграждения перечисляет денежные средства на текущий счет держателя облигаций в соответствии с графиком погашения при условии своевременного перечисления денежных средств уполномоченным органом.</w:t>
      </w:r>
      <w:r>
        <w:br/>
      </w:r>
      <w:r>
        <w:rPr>
          <w:rFonts w:ascii="Times New Roman"/>
          <w:b w:val="false"/>
          <w:i w:val="false"/>
          <w:color w:val="000000"/>
          <w:sz w:val="28"/>
        </w:rPr>
        <w:t>
      В случае возникновения обязательств по налогам, удерживаемым у источника выплаты, при субсидировании ставки вознаграждения по кредиту или лизинговым операциям, купону по облигациям налоговым агентом по исчислению, удержанию и перечислению налогов, удерживаемых у источника выплаты, является участник. В этом случае оператор по субсидированию перечисляет денежные средства в сроки и размерах согласно графику погашения на текущий счет участника.</w:t>
      </w:r>
      <w:r>
        <w:br/>
      </w:r>
      <w:r>
        <w:rPr>
          <w:rFonts w:ascii="Times New Roman"/>
          <w:b w:val="false"/>
          <w:i w:val="false"/>
          <w:color w:val="000000"/>
          <w:sz w:val="28"/>
        </w:rPr>
        <w:t>
      18. Финансовая организация письменно уведомляет оператора по субсидированию об оплате участником платежей согласно графику погашения или нарушении участником графика погашения в срок не позднее дня, следующего за днем платежа, по форме согласно приложению 4 к настоящим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«20. В случае неоплаты участником платежа по кредиту, лизинговым операциям или купону по облигациям, в том числе не субсидируемой части ставки вознаграждения, в сроки, указанные в графике погашения:</w:t>
      </w:r>
      <w:r>
        <w:br/>
      </w:r>
      <w:r>
        <w:rPr>
          <w:rFonts w:ascii="Times New Roman"/>
          <w:b w:val="false"/>
          <w:i w:val="false"/>
          <w:color w:val="000000"/>
          <w:sz w:val="28"/>
        </w:rPr>
        <w:t>
      1) финансовая организация не производит списание денежных средств для субсидирования со специального текущего счета оператора по субсидированию (оператор по субсидированию прекращает перечисление денежных средств на текущий счет держателя облигаций или участника) до погашения задолженности участником и в срок, не позднее дня, следующего за днем оплаты по графику погашения, уведомляет об этом оператора по субсидированию;</w:t>
      </w:r>
      <w:r>
        <w:br/>
      </w:r>
      <w:r>
        <w:rPr>
          <w:rFonts w:ascii="Times New Roman"/>
          <w:b w:val="false"/>
          <w:i w:val="false"/>
          <w:color w:val="000000"/>
          <w:sz w:val="28"/>
        </w:rPr>
        <w:t>
      2) при субсидировании ставки по кредиту или лизинговым операциям – оператор по субсидированию в день получения уведомления финансовой организации о неоплате участником платежа по кредиту, лизинговым операциям, в том числе не субсидируемой части ставки вознаграждения в сроки, указанные в графике погашения, приостанавливает выплаты финансовой организации субсидируемой части процентной ставки вознаграждения и уведомляет об этом уполномоченный орган;</w:t>
      </w:r>
      <w:r>
        <w:br/>
      </w:r>
      <w:r>
        <w:rPr>
          <w:rFonts w:ascii="Times New Roman"/>
          <w:b w:val="false"/>
          <w:i w:val="false"/>
          <w:color w:val="000000"/>
          <w:sz w:val="28"/>
        </w:rPr>
        <w:t>
      3) при субсидировании купона по облигациям – оператор по субсидированию в день получения уведомления держателя облигаций о неоплате участником платежа по купону по облигациям, в том числе не субсидируемой части в сроки, указанные в графике погашения, уведомляет об этом уполномоченный орган.</w:t>
      </w:r>
      <w:r>
        <w:br/>
      </w:r>
      <w:r>
        <w:rPr>
          <w:rFonts w:ascii="Times New Roman"/>
          <w:b w:val="false"/>
          <w:i w:val="false"/>
          <w:color w:val="000000"/>
          <w:sz w:val="28"/>
        </w:rPr>
        <w:t>
      21. В случае полной оплаты участником в течение девяноста календарных дней просроченных платежей по кредиту, лизинговым операциям или купону по облигациям, в том числе не субсидируемой части ставки вознаграждения, по графику погашения, финансовая организация письменно уведомляет об этом оператора по субсидированию в срок не позднее дня, следующего за днем полной оплаты просроченных платежей. В последующем оператор по субсидированию уведомляет об этом уполномоченный орган в срок не позднее дня, следующего за днем получения уведомления финансовой организации.</w:t>
      </w:r>
      <w:r>
        <w:br/>
      </w:r>
      <w:r>
        <w:rPr>
          <w:rFonts w:ascii="Times New Roman"/>
          <w:b w:val="false"/>
          <w:i w:val="false"/>
          <w:color w:val="000000"/>
          <w:sz w:val="28"/>
        </w:rPr>
        <w:t>
      Уполномоченный орган в течение двух рабочих дней с момента получения письменного уведомления оператора по субсидированию направляет письменное уведомление ему о возобновлении выплат субсидируемой части процентной ставки вознаграждения, в том числе за период просроченных платежей по кредиту, лизинговым операциям или купону по облигациям.</w:t>
      </w:r>
      <w:r>
        <w:br/>
      </w:r>
      <w:r>
        <w:rPr>
          <w:rFonts w:ascii="Times New Roman"/>
          <w:b w:val="false"/>
          <w:i w:val="false"/>
          <w:color w:val="000000"/>
          <w:sz w:val="28"/>
        </w:rPr>
        <w:t>
      В случае выявления в ходе мониторинга реализации Программы в части субсидирования неуплаты участником просроченных платежей по кредиту, лизинговым операциям или купону по облигациям, в том числе не субсидируемой части ставки вознаграждения по графику погашения, свыше девяноста календарных дней, оператор по субсидированию уведомляет об этом уполномоченный орган, который инициирует исключение участника из Программы.</w:t>
      </w:r>
      <w:r>
        <w:br/>
      </w:r>
      <w:r>
        <w:rPr>
          <w:rFonts w:ascii="Times New Roman"/>
          <w:b w:val="false"/>
          <w:i w:val="false"/>
          <w:color w:val="000000"/>
          <w:sz w:val="28"/>
        </w:rPr>
        <w:t>
      На основании решения Совета по оздоровлению об исключении участника из Программы Рабочий орган Совета по оздоровлению расторгает договор субсидирования и обращается в суд с заявлением об отмене ускоренной реабилитационной процедуры, предусматривающей мораторий на подачу исков кредиторов о признании предприятия банкротом, и принимает меры по взысканию бюджетных средств, отвлеченных в рамках исполнения плана реабилитации (оздоровления) на субсидирование, в том числе и софинансирование оплаты услуг консультантов, а также может инициировать процедуру банкротства.</w:t>
      </w:r>
      <w:r>
        <w:br/>
      </w:r>
      <w:r>
        <w:rPr>
          <w:rFonts w:ascii="Times New Roman"/>
          <w:b w:val="false"/>
          <w:i w:val="false"/>
          <w:color w:val="000000"/>
          <w:sz w:val="28"/>
        </w:rPr>
        <w:t>
      В случае признания предприятия банкротом, бюджетные средства, отвлеченные в рамках исполнения плана реабилитации (оздоровления) на субсидирование, в том числе и софинансирование оплаты услуг консультантов, подлежат взысканию в республиканский бюджет в порядке, установленном законодательством о банкротстве.»;</w:t>
      </w:r>
      <w:r>
        <w:br/>
      </w:r>
      <w:r>
        <w:rPr>
          <w:rFonts w:ascii="Times New Roman"/>
          <w:b w:val="false"/>
          <w:i w:val="false"/>
          <w:color w:val="000000"/>
          <w:sz w:val="28"/>
        </w:rPr>
        <w:t>
</w:t>
      </w:r>
      <w:r>
        <w:rPr>
          <w:rFonts w:ascii="Times New Roman"/>
          <w:b w:val="false"/>
          <w:i w:val="false"/>
          <w:color w:val="000000"/>
          <w:sz w:val="28"/>
        </w:rPr>
        <w:t>
      дополнить пунктом 22-1 следующего содержания:</w:t>
      </w:r>
      <w:r>
        <w:br/>
      </w:r>
      <w:r>
        <w:rPr>
          <w:rFonts w:ascii="Times New Roman"/>
          <w:b w:val="false"/>
          <w:i w:val="false"/>
          <w:color w:val="000000"/>
          <w:sz w:val="28"/>
        </w:rPr>
        <w:t>
      «22-1. В случае, если средства, находящиеся на специальном расчетном или текущем счете оператора по субсидированию, в связи с неисполнением участником графика погашения не направлены на субсидирование ставки вознаграждения по кредиту, лизинговых операций или купона по облигациям участника в течение периода, на который они предназначались, оператор по субсидированию с письменного согласия уполномоченного органа перенаправляет их на субсидирование ставки вознаграждения по кредиту, лизинговым операциям или купона по облигациям других участников на очередной период. В случае согласия уполномоченного органа на перенаправление средств, очередная заявка на перечисление денежных средств для субсидирования подлежит уменьшению на эту сумму.»;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«23. При частичном (полном) досрочном погашении участником основного долга по кредиту и (или) лизинговым операциям, частичном (полном) досрочном выкупе облигаций финансовая организация не позднее дня, следующего за рабочим днем оплаты, уведомляет об этом оператора по субсидированию и уполномоченный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 Субсидирование прекращается в случаях:</w:t>
      </w:r>
      <w:r>
        <w:br/>
      </w:r>
      <w:r>
        <w:rPr>
          <w:rFonts w:ascii="Times New Roman"/>
          <w:b w:val="false"/>
          <w:i w:val="false"/>
          <w:color w:val="000000"/>
          <w:sz w:val="28"/>
        </w:rPr>
        <w:t>
      исключения участника из Программы по решению Совета по оздоровлению в соответствии с Программой;</w:t>
      </w:r>
      <w:r>
        <w:br/>
      </w:r>
      <w:r>
        <w:rPr>
          <w:rFonts w:ascii="Times New Roman"/>
          <w:b w:val="false"/>
          <w:i w:val="false"/>
          <w:color w:val="000000"/>
          <w:sz w:val="28"/>
        </w:rPr>
        <w:t>
      полного (полного) досрочного погашения участником основного долга по кредиту и (или) лизинговым операциям, полного досрочного выкупа облигаций.»;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2</w:t>
      </w:r>
      <w:r>
        <w:rPr>
          <w:rFonts w:ascii="Times New Roman"/>
          <w:b w:val="false"/>
          <w:i w:val="false"/>
          <w:color w:val="000000"/>
          <w:sz w:val="28"/>
        </w:rPr>
        <w:t xml:space="preserve"> к указанным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Осуществление компанией выплат денежных средств финансовой организации (держателю облигаций или участнику), предназначенных для частичного возмещения расходов, уплачиваемых участником финансовой организации (держателю облигаций) в качестве вознаграждения по кредитам и (или) лизинговым операциям, купона по облигациям (далее - субсидирование процентной ставки вознаграждения) согласно графику погашения, являющемуся неотъемлемой частью настоящего договора.»;</w:t>
      </w:r>
      <w:r>
        <w:br/>
      </w:r>
      <w:r>
        <w:rPr>
          <w:rFonts w:ascii="Times New Roman"/>
          <w:b w:val="false"/>
          <w:i w:val="false"/>
          <w:color w:val="000000"/>
          <w:sz w:val="28"/>
        </w:rPr>
        <w:t>
</w:t>
      </w:r>
      <w:r>
        <w:rPr>
          <w:rFonts w:ascii="Times New Roman"/>
          <w:b w:val="false"/>
          <w:i w:val="false"/>
          <w:color w:val="000000"/>
          <w:sz w:val="28"/>
        </w:rPr>
        <w:t>
      подпункт 7) </w:t>
      </w:r>
      <w:r>
        <w:rPr>
          <w:rFonts w:ascii="Times New Roman"/>
          <w:b w:val="false"/>
          <w:i w:val="false"/>
          <w:color w:val="000000"/>
          <w:sz w:val="28"/>
        </w:rPr>
        <w:t>пункта 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прекратить выплаты субсидий в следующих случаях:</w:t>
      </w:r>
      <w:r>
        <w:br/>
      </w:r>
      <w:r>
        <w:rPr>
          <w:rFonts w:ascii="Times New Roman"/>
          <w:b w:val="false"/>
          <w:i w:val="false"/>
          <w:color w:val="000000"/>
          <w:sz w:val="28"/>
        </w:rPr>
        <w:t>
      исключения участника из Программы по решению Совета по оздоровлению;</w:t>
      </w:r>
      <w:r>
        <w:br/>
      </w:r>
      <w:r>
        <w:rPr>
          <w:rFonts w:ascii="Times New Roman"/>
          <w:b w:val="false"/>
          <w:i w:val="false"/>
          <w:color w:val="000000"/>
          <w:sz w:val="28"/>
        </w:rPr>
        <w:t>
      полного (полного досрочного) погашения участником основного долга по кредитам и (или) лизинговым операциям, полного досрочного выкупа облигаций.»;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в случае возникновения обязательств по налогам, удерживаемым у источника выплаты при субсидировании ставки вознаграждения по кредиту или лизинговым операциям, купону по облигациям, при условии своевременного поступления денежных средств от Министерства перечислять денежные средства для субсидирования ставки вознаграждения на текущий счет участника согласно графику погашения;»;</w:t>
      </w:r>
      <w:r>
        <w:br/>
      </w:r>
      <w:r>
        <w:rPr>
          <w:rFonts w:ascii="Times New Roman"/>
          <w:b w:val="false"/>
          <w:i w:val="false"/>
          <w:color w:val="000000"/>
          <w:sz w:val="28"/>
        </w:rPr>
        <w:t>
</w:t>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в день получения уведомления от финансовой организации (держателя облигаций) о несвоевременной оплате участником платежа по кредиту, лизинговым операциям или купона по облигациям, в том числе не субсидируемой части ставки вознаграждения в сроки, указанные в графике погашения, приостановить выплаты финансовой организации (держателю облигаций или участнику) субсидируемой части процентной ставки вознаграждения и уведомить Министерство;»;</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в случае возникновения обязательств по налогам, удерживаемым у источника выплаты, при субсидировании ставки вознаграждения по кредиту или лизинговым операциям, купону по облигациям, перечислить финансовой организации или держателю облигаций предусмотренные графиком погашения денежные средства, в том числе полученные от Компании суммы, предназначенные для субсидирования ставки вознаграждения. Денежные средства перечисляются согласно графику погашения за минусом налогов, удерживаемых у источника выплаты;»;</w:t>
      </w:r>
      <w:r>
        <w:br/>
      </w:r>
      <w:r>
        <w:rPr>
          <w:rFonts w:ascii="Times New Roman"/>
          <w:b w:val="false"/>
          <w:i w:val="false"/>
          <w:color w:val="000000"/>
          <w:sz w:val="28"/>
        </w:rPr>
        <w:t>
</w:t>
      </w:r>
      <w:r>
        <w:rPr>
          <w:rFonts w:ascii="Times New Roman"/>
          <w:b w:val="false"/>
          <w:i w:val="false"/>
          <w:color w:val="000000"/>
          <w:sz w:val="28"/>
        </w:rPr>
        <w:t>
      дополнить подпунктом 5) следующего содержания:</w:t>
      </w:r>
      <w:r>
        <w:br/>
      </w:r>
      <w:r>
        <w:rPr>
          <w:rFonts w:ascii="Times New Roman"/>
          <w:b w:val="false"/>
          <w:i w:val="false"/>
          <w:color w:val="000000"/>
          <w:sz w:val="28"/>
        </w:rPr>
        <w:t>
      «5) в случае возникновения обязательств по налогам, удерживаемым у источника выплаты, при субсидировании ставки вознаграждения по кредиту или лизинговым операциям, купону по облигациям, выступать налоговым агентом по исчислению, удержанию и перечислению налогов, удерживаемых у источника выплаты.»;</w:t>
      </w:r>
      <w:r>
        <w:br/>
      </w:r>
      <w:r>
        <w:rPr>
          <w:rFonts w:ascii="Times New Roman"/>
          <w:b w:val="false"/>
          <w:i w:val="false"/>
          <w:color w:val="000000"/>
          <w:sz w:val="28"/>
        </w:rPr>
        <w:t>
</w:t>
      </w:r>
      <w:r>
        <w:rPr>
          <w:rFonts w:ascii="Times New Roman"/>
          <w:b w:val="false"/>
          <w:i w:val="false"/>
          <w:color w:val="000000"/>
          <w:sz w:val="28"/>
        </w:rPr>
        <w:t>
      примечание изложить в следующей редакции:</w:t>
      </w:r>
      <w:r>
        <w:br/>
      </w:r>
      <w:r>
        <w:rPr>
          <w:rFonts w:ascii="Times New Roman"/>
          <w:b w:val="false"/>
          <w:i w:val="false"/>
          <w:color w:val="000000"/>
          <w:sz w:val="28"/>
        </w:rPr>
        <w:t xml:space="preserve">
      «Примечания: </w:t>
      </w:r>
      <w:r>
        <w:br/>
      </w:r>
      <w:r>
        <w:rPr>
          <w:rFonts w:ascii="Times New Roman"/>
          <w:b w:val="false"/>
          <w:i w:val="false"/>
          <w:color w:val="000000"/>
          <w:sz w:val="28"/>
        </w:rPr>
        <w:t xml:space="preserve">
      1) при субсидировании купона по облигациям из договора исключаются подпункты 1-1), 2), 2-1), 4), 6) пункта 2.6.; </w:t>
      </w:r>
      <w:r>
        <w:br/>
      </w:r>
      <w:r>
        <w:rPr>
          <w:rFonts w:ascii="Times New Roman"/>
          <w:b w:val="false"/>
          <w:i w:val="false"/>
          <w:color w:val="000000"/>
          <w:sz w:val="28"/>
        </w:rPr>
        <w:t>
      2) в случае возникновения обязательств по налогам, удерживаемым у источника выплаты при субсидировании ставки вознаграждения по кредиту или лизинговым операциям, купону по облигациям, из договора исключаются подпункт 2) пункта 2.4., подпункты 1-1), 2), 2-1), 4), 6) пункта 2.6., пункт 2.7.».</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