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5b9cb" w14:textId="9b5b9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8 февраля 2011 года № 94 "О Стратегическом плане Министерства финансов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2013 года № 795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94 «О Стратегическом плане Министерства финансов Республики Казахстан на 2011 – 2015 годы» (САПП Республики Казахстан, 2011 г., № 18, ст. 211)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финансов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Анализ текущей ситуации и тенденции развития соответствующих отраслей (сфер)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cтратегическом направлении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Совершенствование налоговой и таможенной систем»: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33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улучшения таможенного администрирования Комитетом осуществляется проект развития таможенной службы, который охватывает все сферы деятельности таможенной службы Республики Казахстан и включает в себя анализ соответствия деятельности таможенной службы Республики Казахстан международным стандартам, разработку и внедрение новых методов и технологий в соответствии с лучшей международной практикой, модернизацию и развитие информационно-коммуникационных технологий, техническое оснащение, а также обучение должностных лиц таможенных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развития таможенной службы разрабатывался на основе методологии и структуры Всемирной Таможенной Организации (ВТамО) по наращиванию таможенного потенциала.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идет реализация консалтинговых контрактов, в результате которых будут выработаны рекомендации по совершенствованию, преобразованию и реструктуризации всех основных направлений деятельности таможенных органов и их бизнес-процессов.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данных консалтинговых контрактов будут служить методологической основой для разработки программных продуктов и развития информационно-коммуникационных технологий (ИКТ) таможенных органов, будет выстроена единая архитектура ИКТ таможенных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повышения качества оказываемых услуг разработана система дистанционного обучения на основе информационных технологий с соответствующим программным обеспечением и учебными материалами для решения вопросов, связанных с обучением сотрудников на местах. Определены уровни, а также потребности в образовательной инфраструктуре.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повышения эффективности и качества предоставляемых государственных услуг ведется работа по разработке стандартов и регламентов государственных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сегодняшний день 11 государственных услуг включены в реестр государственных услуг, по 5 разрабатываются регламенты и стандарты. В 2013 году планируется расширение перечня государственных услуг на 10 услуг (итого: 21 государственная услуга).»;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«3.1.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«Стратегическом направление 1. Обеспечение исполнения республиканского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цель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«1.1. Повышение качества исполнения бюджета, эффективности расходов и финансовой дисциплины, а также удержание государственного долга на безопасном уровне»: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08"/>
        <w:gridCol w:w="1928"/>
        <w:gridCol w:w="492"/>
        <w:gridCol w:w="710"/>
        <w:gridCol w:w="710"/>
        <w:gridCol w:w="906"/>
        <w:gridCol w:w="972"/>
        <w:gridCol w:w="1102"/>
        <w:gridCol w:w="1103"/>
        <w:gridCol w:w="929"/>
      </w:tblGrid>
      <w:tr>
        <w:trPr>
          <w:trHeight w:val="930" w:hRule="atLeast"/>
        </w:trPr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АРБП с исполнением расходов не ниже среднереспубликанского значения 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«Мониторинг бюджетного процесса»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065" w:hRule="atLeast"/>
        </w:trPr>
        <w:tc>
          <w:tcPr>
            <w:tcW w:w="4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платежей по обслуживанию правительственного и гарантированного государством долга к доходам республиканского бюджета с допустимым предельным значением 10-15 %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«Мониторинг бюджетного процесса»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10-15</w:t>
            </w:r>
          </w:p>
        </w:tc>
      </w:tr>
    </w:tbl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«1.1.1. Обеспечение исполнения республиканского бюджета, доведение активов Национального фонда к 2020 году до уровня не менее 30 % ВВП»: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5"/>
        <w:gridCol w:w="1937"/>
        <w:gridCol w:w="910"/>
        <w:gridCol w:w="713"/>
        <w:gridCol w:w="495"/>
        <w:gridCol w:w="713"/>
        <w:gridCol w:w="714"/>
        <w:gridCol w:w="911"/>
        <w:gridCol w:w="911"/>
        <w:gridCol w:w="911"/>
      </w:tblGrid>
      <w:tr>
        <w:trPr>
          <w:trHeight w:val="30" w:hRule="atLeast"/>
        </w:trPr>
        <w:tc>
          <w:tcPr>
            <w:tcW w:w="4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контроля, к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подсистемы «Финансовый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рисками»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9"/>
        <w:gridCol w:w="2148"/>
        <w:gridCol w:w="711"/>
        <w:gridCol w:w="711"/>
        <w:gridCol w:w="711"/>
        <w:gridCol w:w="711"/>
        <w:gridCol w:w="711"/>
        <w:gridCol w:w="711"/>
        <w:gridCol w:w="908"/>
        <w:gridCol w:w="909"/>
      </w:tblGrid>
      <w:tr>
        <w:trPr>
          <w:trHeight w:val="30" w:hRule="atLeast"/>
        </w:trPr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контроля, к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подсистемы  «Финансовый контроль. Система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рисками»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9"/>
        <w:gridCol w:w="2148"/>
        <w:gridCol w:w="711"/>
        <w:gridCol w:w="711"/>
        <w:gridCol w:w="711"/>
        <w:gridCol w:w="711"/>
        <w:gridCol w:w="711"/>
        <w:gridCol w:w="711"/>
        <w:gridCol w:w="908"/>
        <w:gridCol w:w="909"/>
      </w:tblGrid>
      <w:tr>
        <w:trPr>
          <w:trHeight w:val="30" w:hRule="atLeast"/>
        </w:trPr>
        <w:tc>
          <w:tcPr>
            <w:tcW w:w="4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Полнота охвата бюджетным мониторингом бюджетных программ АРБП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«Мониторинг бюджетного процесса»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«Мероприятия для достижения показателей прямых результатов»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1"/>
        <w:gridCol w:w="1085"/>
        <w:gridCol w:w="875"/>
        <w:gridCol w:w="875"/>
        <w:gridCol w:w="687"/>
        <w:gridCol w:w="687"/>
      </w:tblGrid>
      <w:tr>
        <w:trPr>
          <w:trHeight w:val="105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соблюдением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и законодательства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закупках объектами контроля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об ответственности виновных лиц по устранению нарушений (привлечение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административной, дисциплинарной ответственности, исковая работа, передача материалов в правоохранительные органы и др.)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дебиторской и кредиторской задолженности МФ РК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8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автоматизированной системы управления рисками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735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обеспечение процесса исполнения бюджета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сбора своевременной, качественной и в полном объеме отчетности об исполнении бюджета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эффективности деятельности центральных и местных исполнительных органов и Национального банка Республики Казахстан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2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финансирования дефицита бюджета в соответствии с потребностью бюджета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3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правительственного долга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885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и своевременное выполнение обязательств перед заимодателями по выплате вознаграждения (интересов) по правительственным займам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75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рисков правительственного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гарантированного государством долга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45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достаточного объема ГЦБ, эмитируемых Министерством финансов Республики Казахстан, необходимого для установления соответствующего ориентира на фондовом рынке для построения кривой доходности при поддержании безопасного уровня правительственного долга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75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информирования населения о принимаемых решениях государственного органа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обновление информации на веб-сайте МФ РК по принимаемым мерам в области финансов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6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повышению финансовой дисциплины при исполнении обязательств по бюджетным кредитам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6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погашения бюджетных кредитов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6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исполнения республиканского бюджета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6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исполнения расходов республиканского бюджета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</w:tr>
      <w:tr>
        <w:trPr>
          <w:trHeight w:val="36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информационной системы по приему и обработке электронных счетов-фактур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ежемесячных аналитических отчетов о реализации целевых трансфертов, выделенных из республиканского бюджета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1455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Прогнозирование ожидаемого исполнения расходной части республиканского бюджета, а также бюджетных программ, реализуемых регионами за счет целевых трансфертов, начиная с итогов девяти месяцев текущего финансового года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 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предложений по результатам аналитических отчетов об исполнении расходов республиканского бюджета, результатах мониторинга реализации целевых текущих трансфертов, целевых трансфертов на развитие и кредитов, выделенных из республиканского бюджета, для учета уполномоченным органом по бюджетному планированию при разработке и уточнении республиканского бюджета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60" w:hRule="atLeast"/>
        </w:trPr>
        <w:tc>
          <w:tcPr>
            <w:tcW w:w="8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ходатайств государственных органов о выделении средств из чрезвычайного резерва и из резерва на неотложные затраты Правительства Республики Казахстан, подготовка заключений к проектам постановлений Правительства Республики Казахстан о выделении средств из резерва Правительства Республики Казахстан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</w:t>
      </w:r>
      <w:r>
        <w:rPr>
          <w:rFonts w:ascii="Times New Roman"/>
          <w:b w:val="false"/>
          <w:i w:val="false"/>
          <w:color w:val="000000"/>
          <w:sz w:val="28"/>
        </w:rPr>
        <w:t xml:space="preserve"> «1.2. Повышение эффективности процесса государственных закупок»: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5"/>
        <w:gridCol w:w="1775"/>
        <w:gridCol w:w="579"/>
        <w:gridCol w:w="579"/>
        <w:gridCol w:w="710"/>
        <w:gridCol w:w="710"/>
        <w:gridCol w:w="710"/>
        <w:gridCol w:w="710"/>
        <w:gridCol w:w="711"/>
        <w:gridCol w:w="711"/>
      </w:tblGrid>
      <w:tr>
        <w:trPr>
          <w:trHeight w:val="30" w:hRule="atLeast"/>
        </w:trPr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доли электронных государственных закупок в общем объеме государственных закупок 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государственных закупок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5"/>
        <w:gridCol w:w="1775"/>
        <w:gridCol w:w="449"/>
        <w:gridCol w:w="710"/>
        <w:gridCol w:w="710"/>
        <w:gridCol w:w="710"/>
        <w:gridCol w:w="710"/>
        <w:gridCol w:w="710"/>
        <w:gridCol w:w="710"/>
        <w:gridCol w:w="711"/>
      </w:tblGrid>
      <w:tr>
        <w:trPr>
          <w:trHeight w:val="30" w:hRule="atLeast"/>
        </w:trPr>
        <w:tc>
          <w:tcPr>
            <w:tcW w:w="5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пользователей, удовлетворенных работой системы электронных государственных закупок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государственных закупок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«1.2.1. Повышение эффективности и прозрачности системы государственных закупок»: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9"/>
        <w:gridCol w:w="1789"/>
        <w:gridCol w:w="452"/>
        <w:gridCol w:w="715"/>
        <w:gridCol w:w="715"/>
        <w:gridCol w:w="716"/>
        <w:gridCol w:w="716"/>
        <w:gridCol w:w="716"/>
        <w:gridCol w:w="716"/>
        <w:gridCol w:w="716"/>
      </w:tblGrid>
      <w:tr>
        <w:trPr>
          <w:trHeight w:val="30" w:hRule="atLeast"/>
        </w:trPr>
        <w:tc>
          <w:tcPr>
            <w:tcW w:w="5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пользователей, удовлетворенных работой системы электронных государственных закупок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 информационной системы Веб-портал государственных закупок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</w:tbl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4"/>
        <w:gridCol w:w="1797"/>
        <w:gridCol w:w="579"/>
        <w:gridCol w:w="579"/>
        <w:gridCol w:w="710"/>
        <w:gridCol w:w="710"/>
        <w:gridCol w:w="710"/>
        <w:gridCol w:w="710"/>
        <w:gridCol w:w="710"/>
        <w:gridCol w:w="711"/>
      </w:tblGrid>
      <w:tr>
        <w:trPr>
          <w:trHeight w:val="30" w:hRule="atLeast"/>
        </w:trPr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доли электронных государственных закупок в общем объеме государственных закупок 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государственных закупок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цели «1.3. Создание интегрированной автоматизированной информационной системы «е-Минфин»: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4"/>
        <w:gridCol w:w="1797"/>
        <w:gridCol w:w="579"/>
        <w:gridCol w:w="579"/>
        <w:gridCol w:w="710"/>
        <w:gridCol w:w="710"/>
        <w:gridCol w:w="710"/>
        <w:gridCol w:w="710"/>
        <w:gridCol w:w="710"/>
        <w:gridCol w:w="711"/>
      </w:tblGrid>
      <w:tr>
        <w:trPr>
          <w:trHeight w:val="30" w:hRule="atLeast"/>
        </w:trPr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автоматизированных функций (бизнес-процессов) МФ из общего объема функций, утвержденных приказом Министра финансов РК от 27 апреля 2012 года № 221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4"/>
        <w:gridCol w:w="1797"/>
        <w:gridCol w:w="449"/>
        <w:gridCol w:w="710"/>
        <w:gridCol w:w="710"/>
        <w:gridCol w:w="710"/>
        <w:gridCol w:w="710"/>
        <w:gridCol w:w="710"/>
        <w:gridCol w:w="710"/>
        <w:gridCol w:w="710"/>
      </w:tblGrid>
      <w:tr>
        <w:trPr>
          <w:trHeight w:val="30" w:hRule="atLeast"/>
        </w:trPr>
        <w:tc>
          <w:tcPr>
            <w:tcW w:w="5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автоматизированных функций (бизнес-процессов) МФ из общего объема функций, утвержденных приказом Министра финансов РК от 27 апреля 2012 года № 221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«1.3.1. Автоматизация бизнес-процессов по исполнению Министерством финансов и его структурными подразделениями государственных функций и предоставлению государственных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6"/>
        <w:gridCol w:w="1455"/>
        <w:gridCol w:w="691"/>
        <w:gridCol w:w="691"/>
        <w:gridCol w:w="910"/>
        <w:gridCol w:w="910"/>
        <w:gridCol w:w="691"/>
        <w:gridCol w:w="692"/>
        <w:gridCol w:w="692"/>
        <w:gridCol w:w="692"/>
      </w:tblGrid>
      <w:tr>
        <w:trPr>
          <w:trHeight w:val="1305" w:hRule="atLeast"/>
        </w:trPr>
        <w:tc>
          <w:tcPr>
            <w:tcW w:w="5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зарегистрированных пользователей, удовлетворенных работой подсистем «е-Минфин»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9"/>
        <w:gridCol w:w="1949"/>
        <w:gridCol w:w="710"/>
        <w:gridCol w:w="710"/>
        <w:gridCol w:w="905"/>
        <w:gridCol w:w="906"/>
        <w:gridCol w:w="710"/>
        <w:gridCol w:w="710"/>
        <w:gridCol w:w="710"/>
        <w:gridCol w:w="711"/>
      </w:tblGrid>
      <w:tr>
        <w:trPr>
          <w:trHeight w:val="1230" w:hRule="atLeast"/>
        </w:trPr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зарегистрированных пользователей, удовлетворенных работой подсистем «е-Минфин»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Совершенствование налоговой и таможенной систем»: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цель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«2.1. Улучшение налогового администрирования»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27"/>
        <w:gridCol w:w="1931"/>
        <w:gridCol w:w="711"/>
        <w:gridCol w:w="711"/>
        <w:gridCol w:w="907"/>
        <w:gridCol w:w="907"/>
        <w:gridCol w:w="711"/>
        <w:gridCol w:w="711"/>
        <w:gridCol w:w="712"/>
        <w:gridCol w:w="712"/>
      </w:tblGrid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недоимки по налоговым поступлениям в общем объеме доходов консолидированного бюджета без учета недоимки, безнадежной к взысканию (по результатам налоговых проверок налогоплательщиков, имеющих признаки лжепредпринимательства)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ИНИС (ЭКНА)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4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налогоплательщиков, удовлетворенных качеством процесса предоставления услуги для: субъектов бизнеса и населения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«2.1.1. Обеспечение полноты поступлений налогов»: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5"/>
        <w:gridCol w:w="1646"/>
        <w:gridCol w:w="710"/>
        <w:gridCol w:w="711"/>
        <w:gridCol w:w="906"/>
        <w:gridCol w:w="907"/>
        <w:gridCol w:w="711"/>
        <w:gridCol w:w="711"/>
        <w:gridCol w:w="711"/>
        <w:gridCol w:w="712"/>
      </w:tblGrid>
      <w:tr>
        <w:trPr>
          <w:trHeight w:val="30" w:hRule="atLeast"/>
        </w:trPr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недоимки по налоговым поступлениям в общем объеме доходов консолидированного бюджета без учета недоимки, безнадежной к взысканию (по результатам налоговых проверок налогоплательщиков, имеющих признаки лжепредпринимательства)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ИНИС  (ЭКНА)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</w:tbl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«2.1.2. Повышение качества предоставляемых налоговых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3"/>
        <w:gridCol w:w="1649"/>
        <w:gridCol w:w="712"/>
        <w:gridCol w:w="712"/>
        <w:gridCol w:w="908"/>
        <w:gridCol w:w="908"/>
        <w:gridCol w:w="494"/>
        <w:gridCol w:w="908"/>
        <w:gridCol w:w="713"/>
        <w:gridCol w:w="713"/>
      </w:tblGrid>
      <w:tr>
        <w:trPr>
          <w:trHeight w:val="30" w:hRule="atLeast"/>
        </w:trPr>
        <w:tc>
          <w:tcPr>
            <w:tcW w:w="5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налогоплательщиков,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удовлетворенных качеством процесса предоставления услуги для: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субъектов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населения</w:t>
            </w:r>
          </w:p>
        </w:tc>
        <w:tc>
          <w:tcPr>
            <w:tcW w:w="1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Независимый социологический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опрос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</w:tbl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«Мероприятиях для достижения показателей прямых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3"/>
        <w:gridCol w:w="833"/>
        <w:gridCol w:w="833"/>
        <w:gridCol w:w="833"/>
        <w:gridCol w:w="833"/>
        <w:gridCol w:w="833"/>
      </w:tblGrid>
      <w:tr>
        <w:trPr>
          <w:trHeight w:val="30" w:hRule="atLeast"/>
        </w:trPr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доли электронных и частично автоматизированных налоговых услуг в общем количестве налоговых услуг, на уровне не менее 20 %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3"/>
        <w:gridCol w:w="833"/>
        <w:gridCol w:w="833"/>
        <w:gridCol w:w="833"/>
        <w:gridCol w:w="833"/>
        <w:gridCol w:w="833"/>
      </w:tblGrid>
      <w:tr>
        <w:trPr>
          <w:trHeight w:val="30" w:hRule="atLeast"/>
        </w:trPr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работ по переходу на режим электронной отчетности (внесение изменений в налоговое законодательство в части порядка представления налоговой отчетности, проведение разъяснительных работ с населением и т.д.)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4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цель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«2.2. Улучшение таможенного администрирования»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7"/>
        <w:gridCol w:w="2847"/>
        <w:gridCol w:w="580"/>
        <w:gridCol w:w="581"/>
        <w:gridCol w:w="406"/>
        <w:gridCol w:w="581"/>
        <w:gridCol w:w="581"/>
        <w:gridCol w:w="668"/>
        <w:gridCol w:w="756"/>
        <w:gridCol w:w="713"/>
      </w:tblGrid>
      <w:tr>
        <w:trPr>
          <w:trHeight w:val="1665" w:hRule="atLeast"/>
        </w:trPr>
        <w:tc>
          <w:tcPr>
            <w:tcW w:w="5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участников внешнеэкономической деятельности, удовлетворенных качеством таможенных услуг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общественного фонда «Центр исследований САНДЖ»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</w:tbl>
    <w:bookmarkStart w:name="z4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Повышение эффективности регулирования в сфере банкротства и посткризисное восстановление (оздоровление) конкурентоспособных предприятий)»: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цель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«3.1. Усовершенствование механизма банкротства»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3"/>
        <w:gridCol w:w="3134"/>
        <w:gridCol w:w="494"/>
        <w:gridCol w:w="494"/>
        <w:gridCol w:w="494"/>
        <w:gridCol w:w="494"/>
        <w:gridCol w:w="494"/>
        <w:gridCol w:w="713"/>
        <w:gridCol w:w="910"/>
        <w:gridCol w:w="910"/>
      </w:tblGrid>
      <w:tr>
        <w:trPr>
          <w:trHeight w:val="30" w:hRule="atLeast"/>
        </w:trPr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погашения требований кредиторов в ходе проведения процедур реабилитации, банкротства (без учета должников, не имеющих активов)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 предоставляемые территориальными подразделениями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</w:tbl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Повышение эффективности системы управления республиканской государственной собственностью и собственностью в отраслях экономики, имеющих стратегическое значение»;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цели</w:t>
      </w:r>
      <w:r>
        <w:rPr>
          <w:rFonts w:ascii="Times New Roman"/>
          <w:b w:val="false"/>
          <w:i w:val="false"/>
          <w:color w:val="000000"/>
          <w:sz w:val="28"/>
        </w:rPr>
        <w:t xml:space="preserve"> «4.1. Совершенствование управления государственной собственностью и собственностью в отраслях экономики, имеющих стратегическое значение»: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5"/>
        <w:gridCol w:w="2500"/>
        <w:gridCol w:w="406"/>
        <w:gridCol w:w="581"/>
        <w:gridCol w:w="930"/>
        <w:gridCol w:w="581"/>
        <w:gridCol w:w="581"/>
        <w:gridCol w:w="668"/>
        <w:gridCol w:w="909"/>
        <w:gridCol w:w="909"/>
      </w:tblGrid>
      <w:tr>
        <w:trPr>
          <w:trHeight w:val="630" w:hRule="atLeast"/>
        </w:trPr>
        <w:tc>
          <w:tcPr>
            <w:tcW w:w="4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принятых рекомендаций объектами мониторинга и электронных аукционов от общего их количества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финхоздеятельности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с госучастием, отчеты консалтинговых фирм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55,6</w:t>
            </w:r>
          </w:p>
        </w:tc>
      </w:tr>
    </w:tbl>
    <w:bookmarkStart w:name="z4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84"/>
        <w:gridCol w:w="2463"/>
        <w:gridCol w:w="400"/>
        <w:gridCol w:w="572"/>
        <w:gridCol w:w="916"/>
        <w:gridCol w:w="573"/>
        <w:gridCol w:w="761"/>
        <w:gridCol w:w="659"/>
        <w:gridCol w:w="896"/>
        <w:gridCol w:w="896"/>
      </w:tblGrid>
      <w:tr>
        <w:trPr>
          <w:trHeight w:val="2445" w:hRule="atLeast"/>
        </w:trPr>
        <w:tc>
          <w:tcPr>
            <w:tcW w:w="4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предприятий, находящихся в зоне риска, от общего количества предприятий (повышение эффективности управления государственной собственностью и собственностью в отраслях экономики, имеющих стратегическое значение)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финхоздеятельности организаций с госучастием, отчеты консалтинговых фирм по результатам проведенного мониторинга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</w:tr>
    </w:tbl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задачу «4.1.1. Обеспечение эффективности процессов управления республиканской государственной собственностью и собственностью в отраслях экономики, имеющих стратегическое значение»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«Задача 4.1.1. Обеспечение эффективности процессов управления республиканской государственной собственностью и собственностью в отраслях экономики, имеющих стратегическое значение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8"/>
        <w:gridCol w:w="2515"/>
        <w:gridCol w:w="710"/>
        <w:gridCol w:w="1153"/>
        <w:gridCol w:w="1219"/>
        <w:gridCol w:w="1197"/>
        <w:gridCol w:w="1109"/>
        <w:gridCol w:w="1109"/>
        <w:gridCol w:w="1110"/>
        <w:gridCol w:w="1110"/>
      </w:tblGrid>
      <w:tr>
        <w:trPr>
          <w:trHeight w:val="30" w:hRule="atLeast"/>
        </w:trPr>
        <w:tc>
          <w:tcPr>
            <w:tcW w:w="26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рекомендаций, принятых государственными органами и объектами мониторинга эффективности управления государственным имуществом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финхоздеятельности организаций с госучастием, отчеты консалтинговых фирм по результатам проведенного мониторинга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3"/>
        <w:gridCol w:w="2528"/>
        <w:gridCol w:w="726"/>
        <w:gridCol w:w="1149"/>
        <w:gridCol w:w="1237"/>
        <w:gridCol w:w="1149"/>
        <w:gridCol w:w="1149"/>
        <w:gridCol w:w="1104"/>
        <w:gridCol w:w="1105"/>
        <w:gridCol w:w="1150"/>
      </w:tblGrid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 рекомендаций, принятых государственными органами и объектами государственного мониторинга собственности в отраслях экономики, имеющих стратегическое значение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независимых консалтинговых фирм, осуществляющих обследования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электронных аукционов в общем объеме проводимых аукционов по продаже объектов республиканской собственности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 АО «ИУЦ»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внедренных в Реестр государственного имущества объектов учета, определенных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государственном имуществе»</w:t>
            </w:r>
          </w:p>
        </w:tc>
        <w:tc>
          <w:tcPr>
            <w:tcW w:w="2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государственного имущества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для достижения показателей прямых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перечня объектов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перечня объектов государственного мониторинга собственности в отраслях экономики, имеющих стратегическое значение на текущий период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мониторинга эффективности управления государственным имуществом, в том числе государственными предприятиями и юридическими лицами с участием государства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государственного мониторинга собственности в отраслях экономики, имеющих стратегическое значение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рекомендаций по повышению эффективности управления государственными предприятиями и юридическими лицами с участием государства, объектам мониторинга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рекомендаций, направленных на повышение эффективности деятельности объектов государственного мониторинга собственности в отраслях экономики, имеющих стратегическое значение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постановления Правительства Республики Казахстан «О внесении изменений и дополнений в постановления Правительства Республики Казахстан от 30 июля 2004 года № 810 и от 4 декабря 2012 года № 1546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включение в Электронную базу данных комплексного мониторинга отчеты о результатах обследования объектов комплексного мониторинга и мониторинга объектов государственной собственности и собственности в отраслях экономики, имеющих стратегическое значение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Реестра государственного имущества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государственном имуществе»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взаимодействия Реестра государственного имущества с существующими информационными системами государственных органов по объектам Реестра, определенным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государственном имуществе»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в Реестр государственного имущества объектов учета государственного имущества, определенных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государственном имуществе»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 пилотном режиме электронных аукционов по продаже объектов приватизации республиканской собственности в 3 территориальных подразделениях КГИП (гг. Астана, Алматы, Карагандинская область) после принятия решения Правительства Республики Казахстан, предусматривающего продажу объектов приватизации на электронных аукционах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4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«6. Управление рисками»: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«Внешние риски»: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3"/>
        <w:gridCol w:w="3986"/>
        <w:gridCol w:w="4151"/>
      </w:tblGrid>
      <w:tr>
        <w:trPr>
          <w:trHeight w:val="30" w:hRule="atLeast"/>
        </w:trPr>
        <w:tc>
          <w:tcPr>
            <w:tcW w:w="4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у отраслевых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автоматизированного учета объектов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определенных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государственном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имуществе», сведения по которым представляются в Реестр государственного имущества</w:t>
            </w:r>
          </w:p>
        </w:tc>
        <w:tc>
          <w:tcPr>
            <w:tcW w:w="3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информации по отдельным объектам учета в Реестре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межведомственной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Рабочей группы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выработки предложений по взаимодействию отраслевых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 в рамках создания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</w:t>
            </w:r>
          </w:p>
        </w:tc>
      </w:tr>
    </w:tbl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3853"/>
        <w:gridCol w:w="4053"/>
      </w:tblGrid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и иными государственными органами по вопросам таможенного дела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Низкие качества уголовного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обмена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правоохранительными органами и иными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по вопросам таможенного дела</w:t>
            </w:r>
          </w:p>
        </w:tc>
      </w:tr>
    </w:tbl>
    <w:bookmarkStart w:name="z5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3"/>
        <w:gridCol w:w="3853"/>
        <w:gridCol w:w="4073"/>
      </w:tblGrid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Недостижение должного уровня взаимодействия с другими правоохранительными органами по линии борьбы с правонарушениями в сфере таможенного дела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качества мероприятий, проводимых таможенными органами по линии борьбы с правонарушениями в сфере таможенного дела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единой позиции с Генеральной прокуратурой Республики Казахстан по созданию единого информационного портала право-хранительных органов по обмену данных оперативного характера</w:t>
            </w:r>
          </w:p>
        </w:tc>
      </w:tr>
    </w:tbl>
    <w:bookmarkStart w:name="z5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3"/>
        <w:gridCol w:w="3853"/>
        <w:gridCol w:w="4073"/>
      </w:tblGrid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по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отмыванию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 терроризма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уничтожения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оценки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финансовых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борьбы с отмыванием денег (ФАТФ)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позиции рейтинга соответствия Республики Казахстан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 по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отмыванию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 терроризма и финансированию распространения оружия массового уничтожения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оценки Группы разработки финансовых мер борьбы с отмыванием денег (ФАТФ) и позиции оценщиков Евразийской группы по противодействию легализации преступных доходов и финансированию терроризма (ЕАГ)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группой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легализации преступных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 и финансированию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терроризма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объективных 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противодействия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легализации (отмыванию)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доходов,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незаконным путем,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 терроризма</w:t>
            </w:r>
          </w:p>
        </w:tc>
      </w:tr>
    </w:tbl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3"/>
        <w:gridCol w:w="3853"/>
        <w:gridCol w:w="4073"/>
      </w:tblGrid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Международных стандартов по противодействию отмыванию денег, финансированию терроризма и финансированию распространения оружия массового уничтожения и методики оценки Группы разработки финансовых мер борьбы с отмыванием денег (ФАТФ)</w:t>
            </w:r>
          </w:p>
        </w:tc>
        <w:tc>
          <w:tcPr>
            <w:tcW w:w="3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позиции рейтинга соответствия Республики Казахстан Международным стандартам по противодействию отмыванию денег, финансированию терроризма и финансированию распространения оружия массового уничтожения Группы разработки финансовых мер борьбы с отмыванием денег (ФАТФ) и позиции оценщиков Евразийской группы по противодействию легализации преступных доходов и финансированию терроризма (ЕАГ)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участия заинтересованных государственных органов в пленарных заседаниях Межправительственной организации - Евразийской группы по противодействию легализации преступных доходов и финансированию терроризма, а также в заседаниях рабочих групп с предоставлением необходимых данных в сфере противодействия легализации (отмыванию) доходов, полученных незаконным путем, финансированию терроризма и финансированию распространения оружия массового уничтожения</w:t>
            </w:r>
          </w:p>
        </w:tc>
      </w:tr>
    </w:tbl>
    <w:bookmarkStart w:name="z5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4273"/>
        <w:gridCol w:w="4273"/>
      </w:tblGrid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Падение мировых цен на продукцию горнодобывающей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(феррахром, алюминий, цинк, медь и т.д.), а также автовозвраты НДС по «0» ставке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плана РБ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прогноза по доходам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местных бюджетов,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относящихся к компетенции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налоговой службы</w:t>
            </w:r>
          </w:p>
        </w:tc>
      </w:tr>
    </w:tbl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3"/>
        <w:gridCol w:w="4273"/>
        <w:gridCol w:w="4273"/>
      </w:tblGrid>
      <w:tr>
        <w:trPr>
          <w:trHeight w:val="30" w:hRule="atLeast"/>
        </w:trPr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Падение мировых цен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продукцию горнодобывающей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(феррахром, алюминий, цинк, медь и т.д.), а также автовозвраты НДС по «0» ставке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Неисполнение плана РБ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налогового администрирования</w:t>
            </w:r>
          </w:p>
        </w:tc>
      </w:tr>
    </w:tbl>
    <w:bookmarkStart w:name="z5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3993"/>
        <w:gridCol w:w="4293"/>
      </w:tblGrid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Срыв сроков реализации проекта «Создание информационной системы по приему и обработке электронных счетов-фактур» потенциальным поставщиком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срока реализации проекта «Создание информационной системы по приему и обработке электронных счетов-фактур»</w:t>
            </w:r>
          </w:p>
        </w:tc>
        <w:tc>
          <w:tcPr>
            <w:tcW w:w="4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мониторинга за соблюдением условий предусмотренных договором </w:t>
            </w:r>
          </w:p>
        </w:tc>
      </w:tr>
    </w:tbl>
    <w:bookmarkStart w:name="z5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«Внутренние риски»: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3"/>
        <w:gridCol w:w="4073"/>
        <w:gridCol w:w="4253"/>
      </w:tblGrid>
      <w:tr>
        <w:trPr>
          <w:trHeight w:val="1410" w:hRule="atLeast"/>
        </w:trPr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Нереализация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по противодействию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отмыванию денег,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 терроризма и финансированию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распространения оружия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массового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(ГП, КНБ, АБЭКП, МВД, ВС, НБ, АСФК, МЭРТ, МЮ, МТК)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 позиций в рейтинге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показателям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стандартам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разработки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борьбы с отмыванием денег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(ФАТФ)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 по совершенствованию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институциональных мер в сфере противодействия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легализации (отмывания)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доходов,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незаконным путем,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финансированию терроризма</w:t>
            </w:r>
          </w:p>
        </w:tc>
      </w:tr>
    </w:tbl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4053"/>
        <w:gridCol w:w="4273"/>
      </w:tblGrid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Нереализация Международных стандартов по противодействию отмыванию денег, финансированию терроризма и финансированию распространения оружия массового уничтожения соответствующими государственными органами (ГП, КНБ, АБЭКП, МВД, ВС, НБ, АСФК, МЭБП, МЮ, МТК) 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 позиций в рейтинге по показателям соответствия международным стандартам Группы разработки финансовых мер борьбы с отмыванием денег (ФАТФ)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реализации ключевых и базовых Международных стандартов по противодействию легализации (отмыванию) доходов, полученных незаконным путем, и финансированию терроризма и финансированию распространения оружия массового уничтожения путем внесения изменений и дополнений в действующие законы и другие нормативно-правовые акты</w:t>
            </w:r>
          </w:p>
        </w:tc>
      </w:tr>
    </w:tbl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>. «Бюджетные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«Услуги по обеспечению исполнения и контроля за исполнением государственного бюджета»: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«Содержание штатной численности центрального аппарата Министерства финансов Республики Казахстан, комитетов и их территориальных органов» цифру «20 159» заменить цифрой «18 397»;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«Ориентировочное количество проведения социологических, аналитических исследований и оказание консалтинговых услуг» цифру «1»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цифру «52 122 784» заменить цифрой «51 327 450»;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006 «Приобретение акций международных финансовых организаций»: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цифру «2 276 632» заменить цифрой «2 300 391»;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010 «Резерв Правительства Республики Казахстан»: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цифру «58 834 270» заменить цифрой «53 291 686»;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012 «Резерв Правительства Республики Казахстан на покрытие дефицита наличности по бюджетам»: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«Предоставление кредитов нижестоящим бюджетам на покрытие дефицита наличности при наличии решений Правительства Республики Казахстан» цифру «100»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«100 % покрытие дефицита наличности по нижестоящим бюджетам» цифру «100»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цифру «600 000»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013 «Обслуживание правительственного долга»: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цифру «214 241 318» заменить цифрой «199 511 631»;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019 «Выплата курсовой разницы по льготным жилищным кредитам»: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цифру «12 657» заменить цифрой «12 890»;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026 «Строительство объектов таможенного контроля и таможенной инфраструктуры»: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«Завершение строительства таможенного поста «Бахты» и единого контрольно-пропускного пункта Майкапчагай» дополнить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«Завершение строительства служебных жилых домов и общежитий для сотрудников таможенных постов» дополнить цифрой «17»;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«Ввод в эксплуатацию новых и реконструкция действующих контрольно-пропускных пунктов на таможенных постах» дополнить цифрой «2»;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«Обеспечение жильем сотрудников таможенных органов в приграничных районах» дополнить цифрой «17»;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цифру «0» дополнить цифрой «1 307 107»;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033 «Развитие автоматизированной интегрированной информационной системы «Электронные государственные закупки»: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слово «Развитие» заменить словом «Модернизация»;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«Дооснащение программно-аппаратного комплекса автоматизированной интегрированной информационной системы «Электронные государственные закупки»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2"/>
        <w:gridCol w:w="708"/>
        <w:gridCol w:w="491"/>
        <w:gridCol w:w="491"/>
        <w:gridCol w:w="491"/>
        <w:gridCol w:w="404"/>
        <w:gridCol w:w="795"/>
        <w:gridCol w:w="491"/>
        <w:gridCol w:w="557"/>
      </w:tblGrid>
      <w:tr>
        <w:trPr>
          <w:trHeight w:val="84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времени отклика Системы 5 секунд при пиковой нагрузке-одновременной работы в Системе до 24 000 клиентов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8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технической возможности хранения архивной информации о проведенных государственных закупках объемом не менее 115 Tb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цифру «1 824 679» заменить цифрой «1 805 805»;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038 «Субсидирование процентной ставки вознаграждения в рамках «Программы посткризисного восстановления (оздоровление конкурентоспособных предприятий)»: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субсидируемых кредитов» цифру «30»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5"/>
        <w:gridCol w:w="708"/>
        <w:gridCol w:w="491"/>
        <w:gridCol w:w="491"/>
        <w:gridCol w:w="491"/>
        <w:gridCol w:w="491"/>
        <w:gridCol w:w="709"/>
        <w:gridCol w:w="492"/>
        <w:gridCol w:w="492"/>
      </w:tblGrid>
      <w:tr>
        <w:trPr>
          <w:trHeight w:val="990" w:hRule="atLeast"/>
        </w:trPr>
        <w:tc>
          <w:tcPr>
            <w:tcW w:w="8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участников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посткризисного восстановления (оздоровление конкурентоспособных предприятий)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«Количество просубсидированных кредитов» цифру «30»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6"/>
        <w:gridCol w:w="708"/>
        <w:gridCol w:w="491"/>
        <w:gridCol w:w="491"/>
        <w:gridCol w:w="491"/>
        <w:gridCol w:w="491"/>
        <w:gridCol w:w="708"/>
        <w:gridCol w:w="492"/>
        <w:gridCol w:w="492"/>
      </w:tblGrid>
      <w:tr>
        <w:trPr>
          <w:trHeight w:val="1245" w:hRule="atLeast"/>
        </w:trPr>
        <w:tc>
          <w:tcPr>
            <w:tcW w:w="8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участников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посткризисного восстановления (оздоровление конкурентоспособных предприятий), в отношении которых обеспечено субсидирование процентной ставки по уже имеющимся займам (кредитам) и/или лизинговым операциям, купона по облигациям, размещенным на Казахстанской фондовой бирже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ед. 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040 «Строительство центров приема и обработки информации налоговых органов»: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цифру «160 300» заменить цифрой «144 001»;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044 «Погашение простых векселей»: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цифру «5 222 469» заменить цифрой «5 047 313»;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045 «Оплата первоначального взноса Республики Казахстан в «Антикризисный фонд ЕврАзЭС»: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цифру «60 000 000» заменить цифрой «30 032 409»;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046 «Мониторинг реализации планов оздоровлений участников «Программы посткризисного восстановления (оздоровление конкурентоспособных предприятий)»: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цифру «217 962» заменить цифрой «106 757»;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061 «Создание интегрированной автоматизированной информационной системы «е-Минфин»: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«Доля автоматизированных функций (бизнес-процессов) Министерства финансов Республики Казахстан из общего объема функций, утвержденных приказом Министра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27 апреля 2012 года № 221» цифру «50» заменить цифрой «60»;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«Доля зарегистрированных пользователей, удовлетворенных работой подсистем «е-Минфин» цифру «17» заменить цифрой «25»;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цифру «1 000 000» заменить цифрой «1 447 829»;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063 «Создание, внедрение и развитие информационных систем таможенных органов»: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«Создание Интеграционной информационной системы «Единое окно по экспортно-импортным операциям» для пилотных государственных органов» цифру «1»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«Приобретение аппаратно-технического и телекоммуникационного оборудования» цифру «2»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«Лицензионное программное обеспечение» цифру «1»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«Ввод в пилотную эксплуатацию Интеграционной информационной системы «Единое окно по экспортно-импортным операциям» цифру «1»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«Поэтапное подключение государственных органов к Интеграционной информационной системе «Единое окно по экспортно-импортным операциям» цифру «3»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цифру «2 576 297»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064 «Создание информационной системы «Электронные счета-фактуры»: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конечного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«Снижение расходов документооборота между субъектами бизнеса, привлеченными в пилотную зону и налоговыми органами»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22"/>
        <w:gridCol w:w="492"/>
        <w:gridCol w:w="492"/>
        <w:gridCol w:w="492"/>
        <w:gridCol w:w="492"/>
        <w:gridCol w:w="492"/>
        <w:gridCol w:w="492"/>
        <w:gridCol w:w="493"/>
        <w:gridCol w:w="493"/>
      </w:tblGrid>
      <w:tr>
        <w:trPr>
          <w:trHeight w:val="840" w:hRule="atLeast"/>
        </w:trPr>
        <w:tc>
          <w:tcPr>
            <w:tcW w:w="8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Подключение компаний, входящих в состав акционерного общества «Фонд национального благосостояния «Самрук-Казына», к ИС ЭСФ пилотной зоны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«показатели эффективности»: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05"/>
        <w:gridCol w:w="709"/>
        <w:gridCol w:w="492"/>
        <w:gridCol w:w="492"/>
        <w:gridCol w:w="492"/>
        <w:gridCol w:w="492"/>
        <w:gridCol w:w="492"/>
        <w:gridCol w:w="493"/>
        <w:gridCol w:w="493"/>
      </w:tblGrid>
      <w:tr>
        <w:trPr>
          <w:trHeight w:val="840" w:hRule="atLeast"/>
        </w:trPr>
        <w:tc>
          <w:tcPr>
            <w:tcW w:w="8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расходов документооборота между субъектами бизнеса, привлеченными в пилотную зону, и налоговыми органами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070 «Учет арендованного имущества комплекса «Байконур»: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цифру «22 015» заменить цифрой «24 609»;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072 «Реформирование системы налогового администрирования»: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прямого результата: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«Изучение международного опыта (учебные туры, ознакомительные поездки, семинары)» цифру «40»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«Приобретение товаров относящихся к основным средствам (спецоборудование)» цифру «1 653»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«Приобретение нематериальных активов для модернизации существующих информационных систем» цифру «571»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7"/>
        <w:gridCol w:w="1437"/>
        <w:gridCol w:w="574"/>
        <w:gridCol w:w="574"/>
        <w:gridCol w:w="575"/>
        <w:gridCol w:w="402"/>
        <w:gridCol w:w="575"/>
        <w:gridCol w:w="403"/>
        <w:gridCol w:w="403"/>
      </w:tblGrid>
      <w:tr>
        <w:trPr>
          <w:trHeight w:val="855" w:hRule="atLeast"/>
        </w:trPr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Анализ, оценка, рекомендации по совершенствованию налогового администрирования, предоставленные по этапам завершения консалтинговых услуг (технические отчеты)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8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консалтинговых услуг (заключение новых контрактов) 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«объем бюджетных расходов» цифру «1 829 961» заменить цифрой «1 084 078»;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таблице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«Свод бюджетных расходов»: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«2013 год» цифры «1 309 149 656», «1 295 022 413», «14 127 243» заменить соответственно цифрами «1 255 652 268», «1 242 357 800», «13 24 468».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