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c3f54" w14:textId="60c3f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25 мая 2012 года № 683 "Об утверждении Программы развития моногородов на 2012 - 2020 годы" и от 15 ноября 2012 года № 1449 "О некоторых вопросах реализации Программы развития моногородов на 2012 - 2020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ноября 2013 года № 1169. Утратило силу постановлением Правительства Республики Казахстан от 31 марта 2014 года № 279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31.03.2014 </w:t>
      </w:r>
      <w:r>
        <w:rPr>
          <w:rFonts w:ascii="Times New Roman"/>
          <w:b w:val="false"/>
          <w:i w:val="false"/>
          <w:color w:val="ff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 некоторые решения Правительства Республики Казахстан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28.06.2014 </w:t>
      </w:r>
      <w:r>
        <w:rPr>
          <w:rFonts w:ascii="Times New Roman"/>
          <w:b w:val="false"/>
          <w:i w:val="false"/>
          <w:color w:val="000000"/>
          <w:sz w:val="28"/>
        </w:rPr>
        <w:t>№ 728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ноября 2012 года № 1449 «О некоторых вопросах реализации Программы развития моногородов на 2012 — 2020 годы»: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ставки вознаграждения по кредитам/лизинговым сделкам банков/лизинговых компаний, предоставляемым субъектам частного предпринимательства, а также предоставления поддержки по развитию производственной (индустриальной) инфраструктуры в рамках Программы,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1</w:t>
      </w:r>
      <w:r>
        <w:rPr>
          <w:rFonts w:ascii="Times New Roman"/>
          <w:b w:val="false"/>
          <w:i w:val="false"/>
          <w:color w:val="000000"/>
          <w:sz w:val="28"/>
        </w:rPr>
        <w:t>. «Общие положения»: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Субсидирование ставки вознаграждения по кредитам/лизинговым сделкам банков/лизинговых компаний будет осуществляться по новым кредитам/лизинговым сделкам субъектов частного предпринимательства (далее - предприниматель), осуществляющих деятельность в моногородах согласно перечню моногородов Республики Казахстан, указанных в приложении 1 к Программе и/или в населенных пунктах, находящихся на территории их административной подчиненности в любых секторах экономики, за исключением случаев, установленных настоящими Правилами.»: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Банк - платежный агент - уполномоченный банк лизинговой компании, который должен быть согласован с финансовым агентом, и осуществлять функции по ведению специального текущего счета лизинговой компании, предназначенного для перечисления и списания субсидий;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Договор субсидирования — трехстороннее письменное соглашение, заключаемое между финансовым агентом, предпринимателем, банком/лизинговой компанией по условиям которого финансовый агент частично субсидирует ставку вознаграждения по кредиту/лизингу предпринимателя, выданному банком/лизинговой компанией»;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6</w:t>
      </w:r>
      <w:r>
        <w:rPr>
          <w:rFonts w:ascii="Times New Roman"/>
          <w:b w:val="false"/>
          <w:i w:val="false"/>
          <w:color w:val="000000"/>
          <w:sz w:val="28"/>
        </w:rPr>
        <w:t>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координатор Программы - структурное подразделение местного исполнительного органа, определяемое акимами областей, ответственное за реализацию программы на областном уровне;»;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«6-1) координатор Программы на местном уровне - структурное подразделение местного исполнительного органа моногорода/района, определяемое акимами областей, ответственное за реализацию программы в моногороде;»;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«12) рабочий орган - государственное учреждение «Комитет развития предпринимательства Министерства регионального развития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«16) уполномоченный орган — Министерство регионального развития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«15. Срок субсидирования составляет до 3 (три) лет с возможностью дальнейшей пролонгации до 5 (пять) лет. Продление срока действия Договора субсидирования по истечении 3 (три) лет одобряется решением РКС на основании ходатайства банка/лизинговой компанией только при выделении средств из республиканского бюджета для субсидирования предпринимателей в соответствующем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Субсидирование ставки вознаграждения осуществляется по кредитам/лизингу банков и лизинговых компаний с номинальной ставкой вознаграждения не более 14 %, из которых 10 % компенсирует государство. При этом банки и лизинговые компании не взимают какие-либо комиссии, сборы и/или иные платежи, связанные с кредитом/лизингом, за исключением: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связанных с изменениями условий кредитования/лизинга, инициируемыми заявителем;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взимаемых по причине нарушения заявителем обязательств по кредиту/лизингу.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случае, если номинальная ставка вознаграждения по кредиту ниже чем 14 % годовых, то 10 % компенсирует государство, а разницу оплачивает предприниматель.»;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«21. Предприниматель с положительным решением банка о кредитовании обращается к координатору Программы на местном уровне с заявлением-анкетой предпринимателя (по форме, предусмотренной в Соглашении о сотрудничестве), к которому прилагают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свидетельство о государственной регистрации предпринимателя/ свидетельство либо справка о государственной регистрации (перерегистрации) юридического лица (копия, заверенная печатью /подписью предпринимателя);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лицензия, если вид деятельности лицензируемый (копия, заверенная печатью/подписью предпринимателя);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устав, учредительный договор (при наличии одного учредителя учредительный договор не требуется). Акционерное общество дополнительно представляет проспект выпуска акций и выписку из реестра держателей ценных бумаг (заверенная печатью/подписью реестра держателя);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финансовые отчеты предпринимателя за последний финансовый год с приложением копии налоговой декларации и/или размещенная на интернет ресурсах информация, позволяющая сделать анализ о финансовом состоянии, с расшифровками дебиторской и кредиторской задолженности (в т.ч. суммы, даты возникновения задолженности и наименование продукции/товаров и услуг), (копия, заверенная печатью/подписью предпринимателя);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письмо банка/лизинговой компании с положительным решением о возможности предоставлении кредита/лизинга (с приложением решения уполномоченного органа компании об участии предпринимателя в Программе).»;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предприятиям металлургической промышленности, которые включены в перечень крупных налогоплательщиков, подлежащих мониторингу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2012 года № 1771;»;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юридическим лицам, учредителями которых являются национальные управляющие холдинги, национальные холдинги, национальные компании и организации, пятьдесят и более процентов акций (долей участия в уставном капитале) которых прямо или косвенно принадлежат государству, национальному управляющему холдингу, национальному холдингу, национальной компании (за исключением социально-предпринимательских корпораций), а также юридические лица, форма собственности которых оформлена как частное учреждение;»;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«25. Координатор Программы в течение 1 (один) рабочего дня, после подписания протокола членами РКС, направляет копию протокола банку/лизинговой компании и финансовому агенту.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действия решения РКС 6 (шесть) месяцев со дня получения протокола РКС банком/лизинговой компанией.»;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«Период субсидирования начинается с момента подписания Договора субсидирования банком/лизинговой компанией и предпринимателем.»;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«34. В случае наступления даты выплаты субсидий до подписания Договора субсидирования финансовым агентом: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отсутствии или недостаточности средств на текущем счете финансового агента/счете лизинговой компании, выплата производится предпринимателем самостоятельно, с дальнейшим возмещением уплаченной суммы финансовым агентом;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наличии и достаточности средств на текущем счете финансового агента/счете лизинговой компании, банк/банк-платежного агента производит списание средств с текущего счета финансового агента в счет погашения субсидируемой ставки вознаграждения по кредиту/договору финансового лизинга данного предпринимателя.»;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«36. Лизинговые компании, не имеющие права открытия и ведения банковских счетов юридических лиц, по согласованию с финансовым агентом определяет банк - платежного агента, в котором лизинговая компания откроет счет для перечисления субсидий.»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«42-1. В случае, если банк/лизинговая компания меняет условия действующего договора банковского займа/договора финансового лизинга, банк/лизинговая компания на основании соответствующего письма уведомляет координатора Программы на местном уровне. Координатор Программы на местном уровне в течение семи рабочих дней письмом согласовывает произведенные изменения условий финансирования или отказывает в согласовании.»;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«57. Предоставление поддержки по развитию производственной (индустриальной) инфраструктуры направлено на развитие предпринимательства и деловой активности в моногородах, согласно перечню моногородов Республики Казахстан, указанных в приложении 1 к Программе, а также в населенных пунктах, находящихся на территории их административной подчиненности с развитием соответствующей инфраструктуры.»;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«69. Поддержка по обеспечению производственной (индустриальной)  инфраструктуры не может быть оказана: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предприятиям нефтегазовой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предприятиям горнодобывающей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предприятиям металлургической промышленности, которые включены в перечень крупных налогоплательщиков, подлежащих мониторингу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2012 года № 1771;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юридическим лицам, учредителями которых являются национальные управляющие холдинги, национальные холдинги, национальные компании и организации, пятьдесят и более процентов акций (долей участия в уставном капитале) которых прямо или косвенно принадлежат государству, национальному управляющему холдингу, национальному холдингу, национальной компании (за исключением социально-предпринимательских корпораций), а также юридическим лицам, форма собственности которых оформлена как частное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проектам, предусматривающим выпуск подакцизных товаров и оружия.»;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Типовом соглашении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в рамках субсидирования ставки вознаграждения по кредитам/лизинговым сделкам банков/лизинговых компаний, предоставляемым субъектам частного предпринимательства, осуществляющим свою деятельность в моногородах» (далее - Типовое соглашение):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1</w:t>
      </w:r>
      <w:r>
        <w:rPr>
          <w:rFonts w:ascii="Times New Roman"/>
          <w:b w:val="false"/>
          <w:i w:val="false"/>
          <w:color w:val="000000"/>
          <w:sz w:val="28"/>
        </w:rPr>
        <w:t xml:space="preserve"> «Термины и сокращения»: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7"/>
        <w:gridCol w:w="9833"/>
      </w:tblGrid>
      <w:tr>
        <w:trPr>
          <w:trHeight w:val="30" w:hRule="atLeast"/>
        </w:trPr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субсидирования (ДС)</w:t>
            </w:r>
          </w:p>
        </w:tc>
        <w:tc>
          <w:tcPr>
            <w:tcW w:w="9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заключаемое между финансовым агентом, банком/лизинговой компании и предпринимателем, по условиям которого финансовый агент частично субсидирует ставку вознаграждения по договору банковского займа/договору финансового лизинга, заключенному предпринимателем с банком/лизинговой компанией;</w:t>
            </w:r>
          </w:p>
        </w:tc>
      </w:tr>
    </w:tbl>
    <w:bookmarkStart w:name="z3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8"/>
        <w:gridCol w:w="10452"/>
      </w:tblGrid>
      <w:tr>
        <w:trPr>
          <w:trHeight w:val="30" w:hRule="atLeast"/>
        </w:trPr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субсидирования (ДС)</w:t>
            </w:r>
          </w:p>
        </w:tc>
        <w:tc>
          <w:tcPr>
            <w:tcW w:w="10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трехстороннее письменное соглашение, заключаемое между финансовым агентом, предпринимателем, банком/лизинговой компанией по условиям которого финансовый агент частично субсидирует ставку вознаграждения по кредиту/лизингу предпринимателя, выданному банком/лизинговой компанией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8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2"/>
        <w:gridCol w:w="10458"/>
      </w:tblGrid>
      <w:tr>
        <w:trPr>
          <w:trHeight w:val="30" w:hRule="atLeast"/>
        </w:trPr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орган</w:t>
            </w:r>
          </w:p>
        </w:tc>
        <w:tc>
          <w:tcPr>
            <w:tcW w:w="10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«Комитет развития предпринимательства Министерства экономического развития и торговли Республики Казахстан»;</w:t>
            </w:r>
          </w:p>
        </w:tc>
      </w:tr>
    </w:tbl>
    <w:bookmarkStart w:name="z8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2"/>
        <w:gridCol w:w="10568"/>
      </w:tblGrid>
      <w:tr>
        <w:trPr>
          <w:trHeight w:val="30" w:hRule="atLeast"/>
        </w:trPr>
        <w:tc>
          <w:tcPr>
            <w:tcW w:w="3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орган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«Комитет развития предпринимательства Министерства регионального развития Республики Казахстан»;</w:t>
            </w:r>
          </w:p>
        </w:tc>
      </w:tr>
    </w:tbl>
    <w:bookmarkStart w:name="z8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 xml:space="preserve"> «Условия субсидирования»: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3"/>
        <w:gridCol w:w="10577"/>
      </w:tblGrid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Кредиты/лизинги предпринимателя, подлежащие субсидированию:</w:t>
            </w:r>
          </w:p>
        </w:tc>
        <w:tc>
          <w:tcPr>
            <w:tcW w:w="10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 кредиты/лизинги, выдаваемые для реализации инвестиционных проектов, а также проектов, направленных на модернизацию и расширение производства, с эффективной ставкой вознаграждения не более 14 % годовых, выданные с 1 июля 2012 года для данных целей;</w:t>
            </w:r>
          </w:p>
        </w:tc>
      </w:tr>
    </w:tbl>
    <w:bookmarkStart w:name="z8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8"/>
        <w:gridCol w:w="8132"/>
      </w:tblGrid>
      <w:tr>
        <w:trPr>
          <w:trHeight w:val="30" w:hRule="atLeast"/>
        </w:trPr>
        <w:tc>
          <w:tcPr>
            <w:tcW w:w="5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Кредиты/лизинги предпринимателя, подлежащие субсидированию:</w:t>
            </w:r>
          </w:p>
        </w:tc>
        <w:tc>
          <w:tcPr>
            <w:tcW w:w="8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 кредиты/лизинги, выдаваемые для реализации инвестиционных проектов, а также проектов, направленных на модернизацию и расширение производства, с номинальной ставкой вознаграждения не более 14 % годовых, выданные с 1 июля 2012 года для данных целей;</w:t>
            </w:r>
          </w:p>
        </w:tc>
      </w:tr>
    </w:tbl>
    <w:bookmarkStart w:name="z8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0"/>
        <w:gridCol w:w="8390"/>
      </w:tblGrid>
      <w:tr>
        <w:trPr>
          <w:trHeight w:val="30" w:hRule="atLeast"/>
        </w:trPr>
        <w:tc>
          <w:tcPr>
            <w:tcW w:w="5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Кредиты/лизинги предпринимателя не подлежащие субсидированию:</w:t>
            </w:r>
          </w:p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 предприятий нефтегазовой промышленности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 предприятий-производителей оружия и подакцизной продукции</w:t>
            </w:r>
          </w:p>
        </w:tc>
      </w:tr>
      <w:tr>
        <w:trPr>
          <w:trHeight w:val="25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 юридических лиц, учредителями которых являются национальные управляющие холдинги, национальные холдинги, национальные компании и организации, пятьдесят и более процентов акций (долей участия в уставном капитале) которых прямо или косвенно принадлежат государству, национальному управляющему холдингу, национальному холдингу, национальной компании, а также юридические лица, форма собственности которых оформлена как частное учреждение</w:t>
            </w:r>
          </w:p>
        </w:tc>
      </w:tr>
      <w:tr>
        <w:trPr>
          <w:trHeight w:val="13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предприятиям металлургической промышленности, которые включены в перечень крупных налогоплательщиков, подлежащих мониторингу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31 декабря 2010 года № 1514;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 предпринимателей, относящихся к предприятиям горнодобывающей промышленности</w:t>
            </w:r>
          </w:p>
        </w:tc>
      </w:tr>
    </w:tbl>
    <w:bookmarkStart w:name="z8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3"/>
        <w:gridCol w:w="8927"/>
      </w:tblGrid>
      <w:tr>
        <w:trPr>
          <w:trHeight w:val="30" w:hRule="atLeast"/>
        </w:trPr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Кредиты/лизинги предпринимателя не подлежащие субсидированию:</w:t>
            </w:r>
          </w:p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 предприятий нефтегазовой промышленности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 предприятий-производителей оружия и подакцизной продукции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лиц, учредителями которых являются национальные управляющие холдинги, национальные холдинги, национальные компании и организации, пятьдесят и более процентов акций (долей участия в уставном капитале) которых прямо или косвенно принадлежат государству, национальному управляющему холдингу, национальному холдингу, национальной компании (за исключением социально-предпринимательских корпораций), а также юридические лица, форма собственности которых оформлена как частное учреждение;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предприятиям металлургической промышленности, которые включены в перечень крупных налогоплательщиков, подлежащих мониторингу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29 декабря 2012 года № 1771;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 предпринимателей, относящихся к предприятиям горнодобывающей промышленности</w:t>
            </w:r>
          </w:p>
        </w:tc>
      </w:tr>
    </w:tbl>
    <w:bookmarkStart w:name="z8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«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0"/>
        <w:gridCol w:w="9670"/>
      </w:tblGrid>
      <w:tr>
        <w:trPr>
          <w:trHeight w:val="30" w:hRule="atLeast"/>
        </w:trPr>
        <w:tc>
          <w:tcPr>
            <w:tcW w:w="4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субсидирования</w:t>
            </w:r>
          </w:p>
        </w:tc>
        <w:tc>
          <w:tcPr>
            <w:tcW w:w="9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кредитам/лизинговым сделкам с эффективной номинальной ставкой вознаграждения не более 14 %, при этом 10 % будет компенсировать государство</w:t>
            </w:r>
          </w:p>
        </w:tc>
      </w:tr>
    </w:tbl>
    <w:bookmarkStart w:name="z9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3"/>
        <w:gridCol w:w="9707"/>
      </w:tblGrid>
      <w:tr>
        <w:trPr>
          <w:trHeight w:val="3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субсидирования</w:t>
            </w:r>
          </w:p>
        </w:tc>
        <w:tc>
          <w:tcPr>
            <w:tcW w:w="9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кредитам/лизинговым сделкам с номинальной ставкой вознаграждения не более 14 %, при этом 10 % будет компенсировать государство</w:t>
            </w:r>
          </w:p>
        </w:tc>
      </w:tr>
    </w:tbl>
    <w:bookmarkStart w:name="z4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Типовому соглашению: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13 «Эффективная ставка вознаграждения» в протоколе № __ заседания Регионального координационного совета по ___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«Номинальная ставка вознаграждения»;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субсидировании: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«Термины и сокращения»: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4"/>
        <w:gridCol w:w="10416"/>
      </w:tblGrid>
      <w:tr>
        <w:trPr>
          <w:trHeight w:val="30" w:hRule="atLeast"/>
        </w:trPr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орган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«Комитет развития предпринимательства Министерства экономического развития и торговли Республики Казахстан»</w:t>
            </w:r>
          </w:p>
        </w:tc>
      </w:tr>
    </w:tbl>
    <w:bookmarkStart w:name="z9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8"/>
        <w:gridCol w:w="10432"/>
      </w:tblGrid>
      <w:tr>
        <w:trPr>
          <w:trHeight w:val="30" w:hRule="atLeast"/>
        </w:trPr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орган</w:t>
            </w:r>
          </w:p>
        </w:tc>
        <w:tc>
          <w:tcPr>
            <w:tcW w:w="10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«Комитет развития предпринимательства Министерства регионального развития Республики Казахстан»</w:t>
            </w:r>
          </w:p>
        </w:tc>
      </w:tr>
    </w:tbl>
    <w:bookmarkStart w:name="z4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2"/>
        <w:gridCol w:w="9548"/>
      </w:tblGrid>
      <w:tr>
        <w:trPr>
          <w:trHeight w:val="30" w:hRule="atLeast"/>
        </w:trPr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субсидирования (ДС)</w:t>
            </w:r>
          </w:p>
        </w:tc>
        <w:tc>
          <w:tcPr>
            <w:tcW w:w="9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заключаемое между финансовым агентом, банком/лизинговой компании и предпринимателем письменное соглашение, по условиям которого финансовый агент частично субсидирует ставку вознаграждения по договору банковского займа/договору финансового лизинга, заключенному предпринимателем с банком/лизинговой компанией</w:t>
            </w:r>
          </w:p>
        </w:tc>
      </w:tr>
    </w:tbl>
    <w:bookmarkStart w:name="z9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9"/>
        <w:gridCol w:w="9561"/>
      </w:tblGrid>
      <w:tr>
        <w:trPr>
          <w:trHeight w:val="1425" w:hRule="atLeast"/>
        </w:trPr>
        <w:tc>
          <w:tcPr>
            <w:tcW w:w="4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субсидирования (ДС)</w:t>
            </w:r>
          </w:p>
        </w:tc>
        <w:tc>
          <w:tcPr>
            <w:tcW w:w="9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трехстороннее письменное соглашение, заключаемое между финансовым агентом, предпринимателем, банком/лизинговой компанией по условиям которого финансовый агент частично субсидирует ставку вознаграждения по кредиту/лизингу предпринимателя, выданному банком/лизинговой компанией</w:t>
            </w:r>
          </w:p>
        </w:tc>
      </w:tr>
    </w:tbl>
    <w:bookmarkStart w:name="z5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5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«Порядок субсидирования по Договору»: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 этом произведенные изменения условий финансирования (отказ в согласовании) должны быть четко отражены в письме согласования.».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«Основания приостановления, прекращения и возобновления субсидирования»: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РКС принимает решение о возобновлении субсидирования, при условии устранения предпринимателем до заседания РКС причин, явившихся основанием для приостановления субсидирования.»;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«Одновременно производит выплату субсидий, неоплаченных им за период приостановления. В случае приостановления субсидирования по основаниям, указанным в подпункте 6 и 7 пункта 2 настоящего Договора, производит выплату субсидий, подлежащих к оплате с даты выхода предпринимателя на просрочку либо с даты неисполнения предпринимателем обязательств по внесению лизинговых платежей.»;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государственных грантов на создание новых производств в рамках Программы,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1</w:t>
      </w:r>
      <w:r>
        <w:rPr>
          <w:rFonts w:ascii="Times New Roman"/>
          <w:b w:val="false"/>
          <w:i w:val="false"/>
          <w:color w:val="000000"/>
          <w:sz w:val="28"/>
        </w:rPr>
        <w:t>. «Общие положения»: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Настоящие Правила предоставления государственных грантов субъектам частного предпринимательства на создание новых производств (далее - Правила)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моногородов на 2012 - 2020 годы, утвержденной постановлением Правительства Республики Казахстан от 24 мая 2012 года № 683 (далее - Программа),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января 2006 года «О частном предпринимательстве» и определяют порядок предоставления государственных грантов предпринимателям на создание новых производств в моногородах и населенных пунктах, находящихся на территории их административной подчиненности.»;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предприниматель - субъект малого предпринимательства;»;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уполномоченный орган — государственное учреждение «Министерство регионального развития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рабочий орган - государственное учреждение «Комитет развития предпринимательства Министерства регионального развития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Государственные гранты предоставляются через координатора Программы на местном уровне по итогам проводимых им конкурсов решением РКС после прохождения предпринимателями (индивидуальным предпринимателем или учредителем (учредителями) юридического лица) краткосрочного обучения на экспресс - курсах «Бизнес советник».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Целью предоставления государственных грантов является поддержка предпринимателей, планирующих создать новые производства в моногороде и населенных пунктах, находящихся, на территории их административной подчиненности согласно перечня моногородов Республики Казахстан, указанных в приложении 1 к Программе.»;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предприятиям металлургической промышленности, которые включены в перечень крупных налогоплательщиков, подлежащих мониторингу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2012 года № 1771;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юридическим лицам, учредителями которых являются национальные управляющие холдинги, национальные холдинги, национальные компании и организации, пятьдесят и более процентов акций (долей участия в уставном капитале) которых прямо или косвенно принадлежат государству, национальному управляющему холдингу, национальному холдингу, национальной компании (за исключением социально-предпринимательских корпораций), а также юридическим лицам, форма собственности которых оформлена как частное учреждение.»;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копию свидетельства о государственной регистрации и/или справки о государственной регистрации (перерегистрации) юридического лица;»;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Объявлении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проведении конкурса: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«Предмет конкурса: предоставление начинающим субъектам малого и среднего предпринимательства государственных грантов (на создание собственного бизнеса)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моногородов на 2012 - 2020 годы.»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«Предмет конкурса: предоставление субъектам частного предпринимательства государственных грантов (на создание нового производства)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моногородов на 2012 - 2020 годы.»;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«Условия участия в конкурсе: в конкурсе могут принять участие субъекты малого и среднего предпринимательства, вновь зарегистрированные, срок государственной регистрации которых в качестве индивидуального предпринимателя или юридического лица составляет на момент обращения за государственной поддержкой менее одного календарного года.»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«Условия участия в конкурсе: в конкурсе могут принять участие субъекты частного предпринимательства, планирующие создать новое производство в моногороде и населенных пунктах, находящиеся на территории их административной подчиненности.»;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Заявке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участие в конкурсном отборе для предоставления начинающим субъектам малого и среднего предпринимательства государственных грантов (на создание собственного бизнеса)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моногородов на 2012 - 2020 годы: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участие в конкурсном отборе для предоставления субъектам частного предпринимательства государственных грантов (на создание нового производства) в рамках Программы развития моногородов на 2012 - 2020 годы»;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«заявляет об участии в конкурсном отборе для предоставления начинающим субъектам малого и среднего предпринимательства государственных грантов (на создание собственного бизнеса).» заменить следующими словами: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«заявляет об участии в конкурсном отборе для предоставления субъектам частного предпринимательства государственных грантов (на создание нового производства).».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