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f064" w14:textId="a1bf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марта 2011 года № 254 "Об утверждении Программы "Производительность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1499. Утратило силу постановлением Правительства Республики Казахстан от 23 июня 2016 года №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23.06.2016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2011 года № 254 «Об утверждении Программы Производительность 2020» (САПП Республики Казахстан, 2011 г., № 27, ст. 314)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«Производительность 2020»,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>. «Паспорт Программы» изложить в следующей редакции: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24"/>
        <w:gridCol w:w="9356"/>
      </w:tblGrid>
      <w:tr>
        <w:trPr>
          <w:trHeight w:val="30" w:hRule="atLeast"/>
        </w:trPr>
        <w:tc>
          <w:tcPr>
            <w:tcW w:w="3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«Наименование Программы</w:t>
            </w:r>
          </w:p>
        </w:tc>
        <w:tc>
          <w:tcPr>
            <w:tcW w:w="9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«Производительность 2020»</w:t>
            </w:r>
          </w:p>
        </w:tc>
      </w:tr>
      <w:tr>
        <w:trPr>
          <w:trHeight w:val="30" w:hRule="atLeast"/>
        </w:trPr>
        <w:tc>
          <w:tcPr>
            <w:tcW w:w="3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9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9 января 2012 года «О государственной поддержке индустриально-инновационной деятельности»,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 – 2014 годы и признании утратившими силу некоторых указов Президента Республики Казахстан» (далее – Государственная программа)</w:t>
            </w:r>
          </w:p>
        </w:tc>
      </w:tr>
      <w:tr>
        <w:trPr>
          <w:trHeight w:val="30" w:hRule="atLeast"/>
        </w:trPr>
        <w:tc>
          <w:tcPr>
            <w:tcW w:w="3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</w:p>
        </w:tc>
        <w:tc>
          <w:tcPr>
            <w:tcW w:w="9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3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Программы</w:t>
            </w:r>
          </w:p>
        </w:tc>
        <w:tc>
          <w:tcPr>
            <w:tcW w:w="9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конкурентоспособности промышленных предприятий в приоритетных секторах экономики путем увеличения производительности труда </w:t>
            </w:r>
          </w:p>
        </w:tc>
      </w:tr>
      <w:tr>
        <w:trPr>
          <w:trHeight w:val="30" w:hRule="atLeast"/>
        </w:trPr>
        <w:tc>
          <w:tcPr>
            <w:tcW w:w="3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Программы</w:t>
            </w:r>
          </w:p>
        </w:tc>
        <w:tc>
          <w:tcPr>
            <w:tcW w:w="9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Модернизация (техническое перевооружение) действующих и создание новых конкурентоспособных 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Сервисная поддержка субъектов предпринимательства </w:t>
            </w:r>
          </w:p>
        </w:tc>
      </w:tr>
      <w:tr>
        <w:trPr>
          <w:trHeight w:val="30" w:hRule="atLeast"/>
        </w:trPr>
        <w:tc>
          <w:tcPr>
            <w:tcW w:w="3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реализации</w:t>
            </w:r>
          </w:p>
        </w:tc>
        <w:tc>
          <w:tcPr>
            <w:tcW w:w="9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2020 годы: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этап – 2011 – 2014 годы, 2011 – пилотный;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этап – 2015 – 2020 годы</w:t>
            </w:r>
          </w:p>
        </w:tc>
      </w:tr>
      <w:tr>
        <w:trPr>
          <w:trHeight w:val="30" w:hRule="atLeast"/>
        </w:trPr>
        <w:tc>
          <w:tcPr>
            <w:tcW w:w="3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9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реализации задач, поставленных в Программе, будут достигнуты следующие целевые индикаторы до 2020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производительности труда не менее чем в два раза на предприятиях обрабатывающей промышленности, участвующих в рамках первой задачи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средней загрузки мощностей предприятий, участвующих в рамках первой задачи Программы до 80 %;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топ-менеджеров предприятий по вопросам повышения производительности труда и энергоэффективности для десяти предприятий  ежегодно;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технической диагностики не менее чем на трех предприятиях ежегодно;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технического нормирования труда не менее чем на трех предприятиях ежегодно</w:t>
            </w:r>
          </w:p>
        </w:tc>
      </w:tr>
      <w:tr>
        <w:trPr>
          <w:trHeight w:val="30" w:hRule="atLeast"/>
        </w:trPr>
        <w:tc>
          <w:tcPr>
            <w:tcW w:w="3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9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республиканском бюджете в 2011 году предусмотрено 15 764 910 тыс. тенге, в 2012 году – 10 133 367 тыс. тенге, в 2013 году – 134 050 тыс. тенге, в 2014 году – 225 187 тыс. тенге, в 2015 году – 225 187 тыс. тенге. Расходы на инновационные гранты и внедрение современных управленческих технологий отражены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развитию инноваций и содействию технологической модернизации в Республике Казахстан на 2010 – 2014 годы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Межотраслевом плане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научно-технологического развития страны до 2020 года, утвержденных постановлениями Правительства Республики Казахстан соответственно от 30 ноября 2010 года № 1308 и от 30 ноября 2010 года № 1291. Объемы финансирования из республиканского бюджета следующих годов будут уточняться при формировании соответствующих бюджетов на планируемый период»;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. «Введение»: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восьмой: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«участник – субъект предпринимательства, имеющий положительную экспертную оценку оператора Программы о соответствии критериям, предъявляемым к участникам в рамках первой задачи, или получивший инструмент(ы) в рамках сервисной поддержки»;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«тренинговая компания – юридическое лицо, осуществляющее проведение круглых столов, семинаров, обучающих тренингов в области управления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консультант по нормированию труда – юридическое лицо, осуществляющее техническое нормирование труда на предприятии;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консультант по технической диагностике – юридическое или физическое лицо, осуществляющее техническую диагностику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топ-менеджер – руководитель юридического лица или член его исполнительного органа или лицо, ответственное за организацию производства или отдельных его этапов (менеджер проекта, управляющий директор по производству и т.п.).»;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разделы 4.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«Цель, задачи, целевые индикаторы и показатели результатов реализации Программы», </w:t>
      </w:r>
      <w:r>
        <w:rPr>
          <w:rFonts w:ascii="Times New Roman"/>
          <w:b w:val="false"/>
          <w:i w:val="false"/>
          <w:color w:val="000000"/>
          <w:sz w:val="28"/>
        </w:rPr>
        <w:t>5.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«Этапы реализации Программы»,  </w:t>
      </w:r>
      <w:r>
        <w:rPr>
          <w:rFonts w:ascii="Times New Roman"/>
          <w:b w:val="false"/>
          <w:i w:val="false"/>
          <w:color w:val="000000"/>
          <w:sz w:val="28"/>
        </w:rPr>
        <w:t>6.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«Необходимые ресурсы и источники их финансирования» и </w:t>
      </w:r>
      <w:r>
        <w:rPr>
          <w:rFonts w:ascii="Times New Roman"/>
          <w:b w:val="false"/>
          <w:i w:val="false"/>
          <w:color w:val="000000"/>
          <w:sz w:val="28"/>
        </w:rPr>
        <w:t>7.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«План мероприятий по реализации Программы «Производительность 2020» (I этап)» изложить в следующей редакции: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«4. Цель, задачи, целевые индикаторы и показатели</w:t>
      </w:r>
      <w:r>
        <w:br/>
      </w:r>
      <w:r>
        <w:rPr>
          <w:rFonts w:ascii="Times New Roman"/>
          <w:b/>
          <w:i w:val="false"/>
          <w:color w:val="000000"/>
        </w:rPr>
        <w:t>
результатов реализации Программы 1. Цель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Повышение конкурентоспособности промышленных предприятий в приоритетных секторах экономики путем увеличения производительности  труда.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Модернизация (техническое перевооружение) действующих и создание новых конкурентоспособных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Сервисная поддержка субъектов предпринимательства.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Целевые индикаторы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Целевые индикаторы до 2020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производительности труда не менее чем в 2 раза на предприятиях обрабатывающей промышленности, участвующих в рамках первой задачи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средней загрузки мощностей предприятий, участвующих в рамках первой задачи Программы до 80 %;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обучения топ-менеджеров предприятий по вопросам повышения производительности труда и энергоэффективности для 10 предприятий ежегодно;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технической диагностики не менее чем на 3-х предприятиях ежегодно;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технического нормирования труда не менее чем на 3-х предприятиях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до 2015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производительности труда не менее чем в 1,5 раза на предприятиях обрабатывающей промышленности, участвующих в рамках первой задачи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средней загрузки мощностей предприятий, участвующих в рамках первой задачи Программы до 70 %.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Показатели результатов реализации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результате реализации Программы предусматривается: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доступности финансовых ресурсов для предприятий частного сектора при реализации новых инвестиционных проектов, направленных на индустриально-инновационное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средств частного сектора, в первую очередь, финансовых организаций для реализации инвестиционных проектов в несырьевых секторах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финансово-экономической устойчивости промышленных предприятий, в первую очередь среднего и крупного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количественные и качественные результаты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производительности труда не менее чем в 2 раза на предприятиях обрабатывающей промышленности, участвующих в рамках первой задачи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средней загрузки мощностей предприятий, участвующих в рамках первой задачи Программы до 80 %.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Этапы реализации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Программы будет осуществляться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этап – с 2011 года по 2014 годы, при этом 2011 год - является пилотным.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реализация Программы будет заключаться в поддержке новых бизнес-инициатив, модернизации действующих предприятий и усилении кадрового потенциала индустриальных предприятий. По итогам реализации пилотной фазы в Программу могут быть внесены изменения и дополнения, а также дополнительные меры государственной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 – 2014 годах реализация Программы будет заключаться в поддержке новых бизнес-инициатив и модернизации действующих предприятий и усилении кадрового потенциала индустриальных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этап – 2015 – 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2015 – 2020 годах реализация Программы будет заключаться в поддержке новых бизнес-инициатив, модернизации действующих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Критерии, предъявляемые к участнику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Участниками Программы в рамках первой задачи «модернизация (техническое перевооружение) действующих и создание новых производств» могут быть субъекты предпринимательства, соответствующие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реализующие и (или) планирующие реализовать инвестиционные проекты в приоритетных отраслях экономики в рамках Государственной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реализующие и (или) планирующие выпуск продукции, представленной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Программе, за исключением субъектов предпринимательства, реализующих инвестиционные проекты в сфере оказания услуг по ремонту и установке машин и оборудования (код ОКЭД 33) и оказывающие технические услуги в области горнодобывающего и нефтегазового секторов (код ОКЭД 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финансово-устойчивые (отсутствие просроченной задолженности по всем видам обязательств перед банком(ами) или филиалом(ами) банка(ов) и отсутствие налоговой задолженности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имеющие комплексный план инвестиционного проекта (комплексный план инвестиционного проекта может быть разработан заявителем самостоятельно или с привлечением консалтинговой компании из утвержденного администратором Программы перечня).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Комплексный план инвестиционного проекта должен предусматривать достижение следующих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финансовая окупаемость инвестиционного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производительности труда в два раза, но не менее чем в полтора раза от среднего отраслевого уровня по проектам модернизации действующих предприятий или в три раза от среднего отраслевого уровня по новым инвестиционным проектам;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конкурентоспособность продукции (востребованной на внутреннем и внешних рынках продукции).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Участие в Программе в рамках второй задачи «сервисная поддержка субъектов предпринимательства» носит заявительный характер. Требования к участнику в рамках каждого инструмента предъявляются отдельно в соответствии с подразделом 4 «Инструменты Программы» настоящего раздела.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Порядок участия в Программе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Участие в Программе в рамках первой задачи «модернизация (техническое перевооружение) действующих и создание новых производств» носит заявительный характер и меры государственной поддержки предоставляются по следующей схеме: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обращается к оператору Программы и предоставляет необходимый пакет документов (в том числе комплексный план инвестиционного проекта, разработанный совместно с консалтинговой компанией из перечня или с экспертизой консалтинговой компании из перечня, в соответствии с установленными требованиями).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Программы готовит экспертную оценку представленного пакета документов. Экспертная оценка должна содержать в себе заключение о соответствии приоритетам Государственной программы, отраслевых программ,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Программе, конкурентоспособности продукции, финансовой устойчивости предприятия и сравнение показателей по производительности труда и энергоэффективности, а также на основании экспертной оценки комплексного плана инвестиционного проекта консалтинговой компании или комплексного плана инвестиционного проекта, разработанного консалтинговой компанией, информацию о необходимости проведения модернизации и предоставлении мер государственной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Оператор Программы направляет экспертную оценку администратору Программы, заявителю и оператору инструмента.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положительной экспертной оценке оператор Программы осуществляет оплату участнику части затрат, понесенных при разработке или экспертизе комплексного плана инвестиционного проекта, в соответствии с подразделом 4 «Инструменты Программы» настоящего раздела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Далее при необходимости получения иных инструментов заявитель обращается к оператору инструмента.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Оператор инструмента осуществляет экспертизу инвестиционного проекта в соответствии с установленными требованиями. Оператор инструмента информирует заявителя и оператора Программы о принятом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положительном решении оператора инструмента оператор Программы, оператор инструмента и участник заключают соответствующее соглашение о мониторинге, которым предусматриваются: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индикаторы результатов внедрения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ответственность оператора инструмента и участника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Мониторинг реализации инвестиционных проектов участников Программы проводится оператором Программы и операторами инструментов в течение всего срока реализации инвестиционного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Регламент реализации Программы, формы заявок, перечень представляемых заявителем документов, сроки рассмотрения заявок, типовая форма соглашения, формы и сроки мониторинга реализации Программы в целом и инструментов в отдельности, требования к разработке комплексного плана инвестиционного проекта утверждаются администратором Программы после рассмотрения межведомственной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Программе в рамках второй задачи «сервисная поддержка  субъектов предпринимательства» носит заявительный характер, и предоставление мер государственной поддержки осуществляется отдельно в соответствии с подразделом 4 «Инструменты Программы» настоящего раздела.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Критерии, предъявляемые к консалтинговым и тренинговым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компаниям, консультантам по технической диагностике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нормированию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Консалтинговые компании, привлекаемые для разработки или экспертизы комплексного плана инвестиционного проекта, должны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соответствовать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компании квалификации и опыта работы не менее 3 (трех) лет в области разработки бизнес-планов, ТЭО, ПСД по инфраструктурным проектам и проектам в обрабатывающей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в активе компании не менее 3-х крупных работ в области разработки бизнес-планов, ТЭО, ПСД по инфраструктурным проектам и проектам в обрабатывающей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Тренинговые компании, привлекаемые в рамках инструмента «оплата за обучение топ-менеджеров предприятий по вопросам повышения производительности труда и энергоэффективности», должны соответствовать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компании квалификации и опыта работы не менее 3 (трех) лет в области организации проведения круглых столов, семинаров, обучающих тренингов в области управления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в активе компании не менее 3 (трех) крупных работ в области проведения круглых столов, семинаров, обучающих тренингов в области управления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налоговой задолженности налогоплательщика,  задолженности по обязательным пенсионным взносам, обязательным профессиональным пенсионным взносам и социальным отчислениям.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Консультанты по технической диагностике, привлекаемые в рамках инструмента «софинансирование проведения технической диагностики предприятия», должны соответствовать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квалификации и опыта работы не менее 3 (трех) лет в области проведения технической диагностики, энергоаудита, технического и технологического аудита и т.д. на промышленных предприятиях по отраслевой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в активе не менее 3-х крупных работ в области проведения технической диагностики, технического и технологического аудита и т.д. на промышленных предприятиях;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Консультанты по нормированию труда, привлекаемые в рамках инструмента «возмещение затрат за техническое нормирование труда», должны соответствовать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квалификации и опыта работы не менее 3 (трех) лет в области внедрения системы технического нормирования труда на промышленных предприятиях;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в активе не менее 3-х крупных работ в области внедрения системы технического нормирования труда на промышленных предприятиях;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консалтинговых и тренинговых компаний, консультантов по технической диагностике и нормированию труда формируется оператором Программы на основе заявок компаний и консультантов, утверждается администратором Программы после рассмотрения межведомственной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Консалтинговые и тренинговые компании, консультанты по технической диагностике и нормированию труда исключаются из перечня по представлению оператора Программы и утверждаются администратором Программы после рассмотрения межведомственной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Инструменты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Инструменты, предоставляемые в рамках первой задачи Программы «модернизация (техническое перевооружение) действующих и создание новых производств»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в рамках первой задачи Программы «модернизация (техническое перевооружение) действующих и создание новых производств» заключается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оплате за разработку или экспертизу комплексного плана инвестиционного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предоставлении долгосрочного лизингового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предоставлении инновационных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мер государственной поддержки в рамках первой задачи Программы осуществляется следующим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разработку или экспертизу комплексного плана консалтинговой компанией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предусматривается оплата расходов в размере 50 %, но не более 7,5 млн. тенге за разработку или экспертизу комплексного плана инвестиционного проекта консалтинговой компанией.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оплаты администратором Программы участнику за разработку или экспертизу комплексного плана консалтинговой компанией: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самостоятельно определяет консалтинговую компанию из утвержденного перечня для разработки или экспертизы комплексного плана инвестиционного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Заявитель и консалтинговая компания заключают договор о разработке или экспертизе комплексного плана инвестиционного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Заявитель представляет полный пакет документов оператору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основе положительной экспертной оценки и документов, подтверждающих расходы участника на разработку или экспертизу комплексного плана инвестиционного проекта, администратор Программы осуществляет перечисление выделенных в рамках бюджетной программы денежных средств оператору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Программы осуществляет перечисление участнику денежных средств, перечисленных администратором Программы, в полном объеме, при этом вознаграждение оператору Программы за перечисление денежных средств участникам не предусмотрено.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Предоставление долгосрочного лизингового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Долгосрочное лизинговое финансирование предоставляется в рамках Программы участнику оператором инструмента. Оператор инструмента – акционерное общество «БРК – Лизинг» – дочерняя организация акционерного общества «Банк развития Казахстана».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должен обеспечить участие денежными средствами в реализации проекта в размере не менее 15 % от общей стоимости предметов лизинга при использовании инструмента долгосрочного лизингового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предмета лизинга должна быть не менее 150 млн. тенге (для предприятий легкой промышленности не менее 75 млн.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Долгосрочное лизинговое финансирование предоставляется сроком до 10 лет. Ставка вознаграждения по договору финансового лизинга для участника должна составлять 5 %, при этом соотношение бюджетного кредита и иных средств фондирования оператора инструмента должно составлять 80/20. Данные условия распространяются и на договоры, заключенные в 2011 – 2012 годах.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предоставления долгосрочного лизингового финансирования: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Подача заявки на долгосрочное лизинговое финансирование оператору инструмента осуществляется участником согласно установленной форме после получения положительного экспертного заключения оператора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инструмента рассматривает заявку в установленном порядке и выносит решение о предоставлении (непредоставлении) долгосрочного лизингового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положительном решении оператор инструмента и участник заключают договор финансового лизинга.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Предоставление инновационных грантов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Инновационные гранты предоставляются в рамках первой задачи Программы для реализации новых индустриально-инновационных проектов, а также по реализуемым индустриально-инновационным проектам,направленным на модернизацию и расширение производства по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квалификации инженерно-технического персонала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привлечение высококвалифицированных иностранных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привлечение консалтинговых, проектных и инжиниринговых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внедрение управленческих и производственных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инструмента - национальный институт развития в области технологического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инновационных грантов осуществляется в соответствии с Правилами предоставления инновационных грантов на повышение квалификации инженерно-технического персонала за рубежом, привлечение высококвалифицированных иностранных специалистов, привлечение консалтинговых, проектных и инжиниринговых организаций, на внедрение управленческих и производственных технологий,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Инструменты, предоставляемые в рамках второй задачи Программы «сервисная поддержка субъектов предпринимательства»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сервисная поддержка субъектов предпринимательства в рамках Программы заключается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предоставлении инновационных 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оплате за обучение топ-менеджеров предприятий по вопросам  повышения производительности труда и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софинансировании проведения технической диагностики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возмещении затрат за техническое нормирование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возмещении части затрат по сертификации продукции и систем менеджмента качества в соответствии с международными стандартами (ISO, API, ASTM, GMP, EN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сервисной поддержки в рамках Программы осуществляется следующим образом.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Предоставление инновационных грантов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Инновационные гранты предоставляются для реализации новых индустриально-инновационных проектов, а также по реализуемым индустриально-инновационным проектам, направленным на модернизацию и расширение производства по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привлечение квалифицированных иностранных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привлечение консалтинговых, проектных и инжиниринговых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повышение квалификации инженерно-технического персонала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внедрение управленческих и производственных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промышленных исследований (научно-исследовательские, научно-технические и опытно-конструкторские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приобретение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поддержка деятельности по производству высокотехнологичной продукции на начальном этапе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патентование в зарубежных странах и (или) региональных патентных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коммерциализация технологий по 2-м этапам (обоснование концепции проекта и создание промышленного прототипа).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инструмента – национальный институт развития в области технологического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инновационных грантов осуществляется в соответствии с Правилами предоставления инновационных грантов на повышение квалификации инженерно-технического персонала за рубежом, привлечение высококвалифицированных иностранных специалистов, привлечение консалтинговых, проектных и инжиниринговых организаций, на внедрение управленческих и производственных технологий; Правилами предоставления инновационных грантов на приобретение технологий, проведение промышленных исследований, поддержку деятельности по производству высокотехнологичной продукции на начальном этапе развития, патентование в зарубежных странах и (или) региональных патентных организациях и Правилами предоставления инновационных грантов на коммерциализацию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обучение топ-менеджеров предприятий по вопросам повышения производительности труда и энергоэффективности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предусматривается оплата в размере 60 % затрат, понесенных предприятием при обучении топ-менеджеров (без учета затрат на проезд и проживание), не более 1,5 млн. тенге на 1 (одного) топ-менеджера и не более 3 (трех) топ-менеджеров в год по одному предприятию.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оплаты администратором Программы за обучение: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обращается к оператору Программы и представляет необходимый пакет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Программы рассматривает пакет документов заявителя, в том числе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Заявитель самостоятельно определяет тренинговую компанию из утвержденного Перечня для проведения обучения топ-менеджеров.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Заявитель и тренинговая компания заключают договор на предоставление услуг по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Заявитель представляет оператору Программы сертификат о прохождении обучения и пакет документов, подтверждающих расходы заявителя по обучению топ-менеджеров.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Администратор Программы на основании заявки оператора Программы, сертификата и документов, подтверждающих расходы заявителя по обучению топ-менеджеров, осуществляет перечисление выделенных в рамках бюджетной программы соответствующих денежных средств оператору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Оператор Программы осуществляет перечисление заявителю соответствующих денежных средств, перечисленных администратором  Программы, в полном объеме, при этом вознаграждение оператору Программы за перечисление денежных средств заявителю не предусмотрено.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Софинансирование проведения технической диагностики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предусматривается софинансирование проведения технической диагностики предприятий в размере 80 %, но не более 8 млн. тенге для малых и средних предприятий, не более 16 млн. тенге для крупных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софинансирования администратором Программы проведения технической диагностики предприятия: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обращается к оператору Программы и предоставляет необходимый пакет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Программы рассматривает пакет документов заявителя, в том числе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Заявитель совместно с оператором Программы определяет консультанта по технической диагностике из утвержденного Перечня по отраслевой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Оператор Программы, заявитель и консультант по технической  диагностике заключают трехсторонний договор на проведение технической диагностики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Заявитель осуществляет авансовый платеж консультанту по технической диагностике в размере 20 % от стоимости услуг на проведение технической диагностики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Консультант по технической диагностике осуществляет техническую диагностику предприятия в соответствии с условиями и сроками договора, заключенного согласно трехстороннему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Консультант по технической диагностике по итогам проведенной технической диагностики оформляет Отчет по технической диагностике предприятия и представляет его оператору Программы и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Оператор Программы, заявитель и консультант по технической диагностике подписывают акт оказанных услуг по проведению технической диагностики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Оператор Программы на основании Отчета по технической диагностике, акта оказанных услуг по проведению технической диагностики предприятия и счет фактуры направляет заявку администратору Программы на перечисление бюджетных средств в размере 80 % от стоимости услуг консультанта по технической диагностике за проведение технической диагностики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Программы перечисляет бюджетные средства на расчетный счет оператора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Оператор Программы осуществляет перечисление консультанту по технической диагностике соответствующих денежных средств, перечисленных администратором Программы, в полном объеме, при этом вознаграждение оператору Программы за перечисление денежных средств консультантам по технической диагностике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необходимых документов, формы заявки и трехстороннего договора, требования к отчету по технической диагностике разрабатываются оператором Программы и утверждаются администратором Программы после рассмотрения межведомственной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Оплата за техническое нормирование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предусматривается оплата расходов в размере 50 %, но не более 5 млн. тенге для субъектов крупного предпринимательства и не более 2 млн. тенге для субъектов малого и среднего предпринимательства, понесенных при внедрении системы технического нормирования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оплаты администратором Программы расходов, за техническое нормирование труда: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обращается к оператору Программы и представляет необходимый пакет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Программы рассматривает пакет документов заявителя, в том числе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Заявитель самостоятельно определяет консультанта по нормированию труда из утвержденного Перечня для технического нормирования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Заявитель и консультант по нормированию труда заключают договор по техническому нормированию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Заявитель представляет оператору Программы необходимый пакет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Оператор Программы на основе пакета документов, подтверждающих расходы заявителя на внедрение системы технического нормирования труда, направляет заявку администратору Программы на перечисление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Администратор Программы осуществляет перечисление выделенных в рамках бюджетной программы соответствующих денежных средств оператору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Оператор Программы осуществляет перечисление участнику соответствующих денежных средств, перечисленных администратором Программы, в полном объеме, при этом вознаграждение оператору Программы за перечисление денежных средств консультантам по технической диагностике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необходимых документов, формы заявки и договора разрабатываются оператором Программы и утверждается администратором Программы после рассмотрения межведомственной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Возмещение части затрат по сертификации продукции и систем менеджмента качества в соответствии с международными стандартами (ISO, API, ASTM, GMP, EN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инструмента – национальный институт развития в области развития местного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части затрат по сертификации продукции и систем менеджмента качества в соответствии с международными стандартами (ISO, API, ASTM, GMP, EN и др.) производится согласно Правилам возмещения части затрат субъектов индустриально-инновационной деятельности по продвижению отечественных обработанных товаров, работ и услуг на внутреннем рынке, утверждаемыми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реализации инструментов Программы проводится оператором Программы и операторами инструментов.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Необходимые ресурсы и источники их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реализацию Программы из республиканского бюджета в 2011 году предусматривается 15 764 910 тыс. тенге, в 2012 году – 10 133 367 тыс. тенге, в 2013 году – 134 050 тыс. тенге, в 2014 году – 225 187 тыс. тенге, в 2015 году – 225 187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финансирование Программы будет осуществляться в рамках средств, предусмотренных в республиканском бюджете на соответствующие финансовые годы, а также привлеченных внешних займов по отдельным инструментам государственной поддержки.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7. План мероприятий по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«Производительность 2020» (I этап)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2021"/>
        <w:gridCol w:w="1449"/>
        <w:gridCol w:w="1745"/>
        <w:gridCol w:w="1293"/>
        <w:gridCol w:w="779"/>
        <w:gridCol w:w="779"/>
        <w:gridCol w:w="793"/>
        <w:gridCol w:w="779"/>
        <w:gridCol w:w="850"/>
        <w:gridCol w:w="1260"/>
        <w:gridCol w:w="1746"/>
      </w:tblGrid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 (тыс. тенге)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бюджетной программы (если есть)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межведомственной комиссии по модернизации предприятий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заинтересованные государственные органы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порядка долгосрочного лизингового финансирования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оператора инструмента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инструмента (по согласованию), АО «КИРИ» (по согласованию)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предоставления инновационных грантов, утвержденных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№ 1202 от 6 августа 2009 года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АО «КИРИ» (по согласованию), операторы инструментов (по согласованию)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2011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форм документов, необходимых для реализации Программы, дальнейшая актуализация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АО «КИРИ» (по согласованию), операторы инструментов (по согласованию)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 года, по мере необходимости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92 810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103 367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«Поддержка создания новых, модернизация и оздоровление действующих производств в рамках направления «Производитель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– 2020»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утверждение Перечня консалтинговых компаний, дальнейшая актуализация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«КИРИ» (по согласованию), межведомственная комиссия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 года, по мере необходимости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заявлений об участии в Программе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«КИРИ» (по согласованию)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о соответствии критериям, предъявляемым к участникам Программы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экспертное заключение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«КИРИ» (по согласованию), заявитель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заявок участников операторами инструментов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оператора инструмента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инструментов (по согласованию), АО «КИРИ» (по согласованию)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хода реализации проекта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«КИРИ» (по согласованию), операторы инструментов (по согласованию)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информационно-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пропагандистской работы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«КИРИ» (по согласованию), операторы инструментов (по согласованию)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мер 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поддержки</w:t>
            </w:r>
          </w:p>
        </w:tc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«КИРИ» (по согласованию), операторы инструментов (по согласованию)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672 100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109 187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109 187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«Поддержка создания новых, модернизация и оздоровление действующих производств в рамках направления «Производитель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– 2020»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  «Кредитова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АО «ФНБ «Самрук- Казына»для обеспечения конкуренто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 и устойчивости Национальной экономики»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  «Кредитование АО «ФНБ «Самрук- Казына» для обеспечения конкуренто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 и устойчивости Национальной экономики»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предоставления инновационных грантов на повышение квалификации инженернотехнического персонала за рубежом, привлечение высококвалифицированных иностранных специалистов, привлечение консалтинговых, проектных и инжиниринговых организаций, на внедрение управленческих и производственных технологий № 1035 от 9 августа 2012 года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«НАТР» (по согласованию)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 2014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«ФНБ «Самрук-Казына» – акционерное общество «Фонд национального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«КИРИ» – акционерное общество «Казахстанский институт развития индустрии».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