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732a" w14:textId="d287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2014 года № 726. Утратило силу постановлением Правительства Республики Казахстан от 27 июля 2015 года № 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апреля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2014 года № 726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 (САПП Республики Казахстан, 2011 г., № 47, ст. 639):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Профессиональная ориентация осуществляется среди самозанятых, безработных и малообеспеченных групп населения, учащихся 9, 11 классов организаций среднего образования уполномоченным органом по вопросам занятости в соответствии с методическими рекомендациями, разработанными центральным уполномоченным органом по вопросам занятости по согласованию с уполномоченным органом в области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«Между участником Программы и центром занятости населения заключаются социальные контракты о представлении государственной поддержки по содействию в трудоустройстве и профессиональной ориентации, о содействии в трудоустройстве без оказания мер государственной поддержки по формам, утвержденным оператором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«48. Размер оплаты труда физических лиц, направленных на молодежную практику, составляет 18 МРП в месяц (с учетом налогов, обязательных социальных отчислений, компенсаций за неиспользованный трудовой отпуск и банковских услуг) без учета выплат экологических надбавок.».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816 «Об утверждении Правил организации и финансирования государственной поддержки развития предпринимательства лицам, участвующим в активных мерах содействия занятости» (САПП Республики Казахстан, 2011 г., № 47, ст. 640):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государственной поддержки развития предпринимательства лицам, участвующим в активных мерах содействия занятости,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«Средства на финансирование мастер-планов развития опорных сел, разработанных в пилотном режиме в Акмолинской, Алматинской, Восточно-Казахстанской, Павлодарской и Кызылординской областях (по одному опорному селу в каждом регионе) планируются дополнительно в размере не более 10 процентов от общей суммы доведенных лимитов.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между регионами средств, выделенных законом о республиканском бюджете на соответствующий финансовый год, для финансирования развития опорных сел осуществляется на основании решения МВК по заявке администратора соответствующей республиканской бюджетной программы на основании утвержденных мастер-планов развития опорных сел.».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