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9e4981" w14:textId="b9e498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Генеральном плане города Актобе Актюбинской области (включая основные положения)</w:t>
      </w:r>
    </w:p>
    <w:p>
      <w:pPr>
        <w:spacing w:after="0"/>
        <w:ind w:left="0"/>
        <w:jc w:val="both"/>
      </w:pPr>
      <w:r>
        <w:rPr>
          <w:rFonts w:ascii="Times New Roman"/>
          <w:b w:val="false"/>
          <w:i w:val="false"/>
          <w:color w:val="000000"/>
          <w:sz w:val="28"/>
        </w:rPr>
        <w:t>Постановление Правительства Республики Казахстан от 31 октября 2016 года № 643</w:t>
      </w:r>
    </w:p>
    <w:p>
      <w:pPr>
        <w:spacing w:after="0"/>
        <w:ind w:left="0"/>
        <w:jc w:val="both"/>
      </w:pPr>
      <w:bookmarkStart w:name="z1" w:id="0"/>
      <w:r>
        <w:rPr>
          <w:rFonts w:ascii="Times New Roman"/>
          <w:b w:val="false"/>
          <w:i w:val="false"/>
          <w:color w:val="000000"/>
          <w:sz w:val="28"/>
        </w:rPr>
        <w:t>
      В соответствии с </w:t>
      </w:r>
      <w:r>
        <w:rPr>
          <w:rFonts w:ascii="Times New Roman"/>
          <w:b w:val="false"/>
          <w:i w:val="false"/>
          <w:color w:val="000000"/>
          <w:sz w:val="28"/>
        </w:rPr>
        <w:t>подпунктом 5)</w:t>
      </w:r>
      <w:r>
        <w:rPr>
          <w:rFonts w:ascii="Times New Roman"/>
          <w:b w:val="false"/>
          <w:i w:val="false"/>
          <w:color w:val="000000"/>
          <w:sz w:val="28"/>
        </w:rPr>
        <w:t xml:space="preserve"> статьи 19 Закона Республики Казахстан от 16 июля 2001 года «Об архитектурной, градостроительной и строительной деятельности в Республике Казахстан» и в целях обеспечения комплексного развития города Актобе Актюбинской области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Утвердить прилагаемый проект </w:t>
      </w:r>
      <w:r>
        <w:rPr>
          <w:rFonts w:ascii="Times New Roman"/>
          <w:b w:val="false"/>
          <w:i w:val="false"/>
          <w:color w:val="000000"/>
          <w:sz w:val="28"/>
        </w:rPr>
        <w:t>Генерального плана</w:t>
      </w:r>
      <w:r>
        <w:rPr>
          <w:rFonts w:ascii="Times New Roman"/>
          <w:b w:val="false"/>
          <w:i w:val="false"/>
          <w:color w:val="000000"/>
          <w:sz w:val="28"/>
        </w:rPr>
        <w:t xml:space="preserve"> города Актобе Актюбинской области (включая основные положения), одобренный Актюбинским областным и Актюбинским городским маслихатами.</w:t>
      </w:r>
      <w:r>
        <w:br/>
      </w:r>
      <w:r>
        <w:rPr>
          <w:rFonts w:ascii="Times New Roman"/>
          <w:b w:val="false"/>
          <w:i w:val="false"/>
          <w:color w:val="000000"/>
          <w:sz w:val="28"/>
        </w:rPr>
        <w:t>
</w:t>
      </w:r>
      <w:r>
        <w:rPr>
          <w:rFonts w:ascii="Times New Roman"/>
          <w:b w:val="false"/>
          <w:i w:val="false"/>
          <w:color w:val="000000"/>
          <w:sz w:val="28"/>
        </w:rPr>
        <w:t>
      2. Признать утратившим силу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2 мая 2006 года № 350 «О Генеральном плане города Актобе».</w:t>
      </w:r>
      <w:r>
        <w:br/>
      </w:r>
      <w:r>
        <w:rPr>
          <w:rFonts w:ascii="Times New Roman"/>
          <w:b w:val="false"/>
          <w:i w:val="false"/>
          <w:color w:val="000000"/>
          <w:sz w:val="28"/>
        </w:rPr>
        <w:t>
</w:t>
      </w:r>
      <w:r>
        <w:rPr>
          <w:rFonts w:ascii="Times New Roman"/>
          <w:b w:val="false"/>
          <w:i w:val="false"/>
          <w:color w:val="000000"/>
          <w:sz w:val="28"/>
        </w:rPr>
        <w:t>
      3. Настоящее постановление вводится в действие со дня его первого официального опубликования.</w:t>
      </w:r>
    </w:p>
    <w:bookmarkEnd w:id="0"/>
    <w:p>
      <w:pPr>
        <w:spacing w:after="0"/>
        <w:ind w:left="0"/>
        <w:jc w:val="both"/>
      </w:pPr>
      <w:r>
        <w:rPr>
          <w:rFonts w:ascii="Times New Roman"/>
          <w:b w:val="false"/>
          <w:i/>
          <w:color w:val="000000"/>
          <w:sz w:val="28"/>
        </w:rPr>
        <w:t>      Премьер-Министр</w:t>
      </w:r>
      <w:r>
        <w:br/>
      </w:r>
      <w:r>
        <w:rPr>
          <w:rFonts w:ascii="Times New Roman"/>
          <w:b w:val="false"/>
          <w:i w:val="false"/>
          <w:color w:val="000000"/>
          <w:sz w:val="28"/>
        </w:rPr>
        <w:t>
</w:t>
      </w:r>
      <w:r>
        <w:rPr>
          <w:rFonts w:ascii="Times New Roman"/>
          <w:b w:val="false"/>
          <w:i/>
          <w:color w:val="000000"/>
          <w:sz w:val="28"/>
        </w:rPr>
        <w:t>      Республики Казахстан                    Б. Сагинтаев</w:t>
      </w:r>
    </w:p>
    <w:p>
      <w:pPr>
        <w:spacing w:after="0"/>
        <w:ind w:left="0"/>
        <w:jc w:val="both"/>
      </w:pPr>
      <w:r>
        <w:rPr>
          <w:rFonts w:ascii="Times New Roman"/>
          <w:b w:val="false"/>
          <w:i w:val="false"/>
          <w:color w:val="000000"/>
          <w:sz w:val="28"/>
        </w:rPr>
        <w:t xml:space="preserve">Утвержден         </w:t>
      </w:r>
      <w:r>
        <w:br/>
      </w:r>
      <w:r>
        <w:rPr>
          <w:rFonts w:ascii="Times New Roman"/>
          <w:b w:val="false"/>
          <w:i w:val="false"/>
          <w:color w:val="000000"/>
          <w:sz w:val="28"/>
        </w:rPr>
        <w:t xml:space="preserve">
постановлением Правительства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31 октября 2016 года № 643</w:t>
      </w:r>
    </w:p>
    <w:p>
      <w:pPr>
        <w:spacing w:after="0"/>
        <w:ind w:left="0"/>
        <w:jc w:val="both"/>
      </w:pPr>
      <w:r>
        <w:rPr>
          <w:rFonts w:ascii="Times New Roman"/>
          <w:b w:val="false"/>
          <w:i w:val="false"/>
          <w:color w:val="000000"/>
          <w:sz w:val="28"/>
        </w:rPr>
        <w:t>Проект</w:t>
      </w:r>
    </w:p>
    <w:bookmarkStart w:name="z5" w:id="1"/>
    <w:p>
      <w:pPr>
        <w:spacing w:after="0"/>
        <w:ind w:left="0"/>
        <w:jc w:val="left"/>
      </w:pPr>
      <w:r>
        <w:rPr>
          <w:rFonts w:ascii="Times New Roman"/>
          <w:b/>
          <w:i w:val="false"/>
          <w:color w:val="000000"/>
        </w:rPr>
        <w:t xml:space="preserve"> 
Генеральный план города Актобе Актюбинской области</w:t>
      </w:r>
      <w:r>
        <w:br/>
      </w:r>
      <w:r>
        <w:rPr>
          <w:rFonts w:ascii="Times New Roman"/>
          <w:b/>
          <w:i w:val="false"/>
          <w:color w:val="000000"/>
        </w:rPr>
        <w:t>
(включая основные положения)</w:t>
      </w:r>
    </w:p>
    <w:bookmarkEnd w:id="1"/>
    <w:bookmarkStart w:name="z6" w:id="2"/>
    <w:p>
      <w:pPr>
        <w:spacing w:after="0"/>
        <w:ind w:left="0"/>
        <w:jc w:val="left"/>
      </w:pPr>
      <w:r>
        <w:rPr>
          <w:rFonts w:ascii="Times New Roman"/>
          <w:b/>
          <w:i w:val="false"/>
          <w:color w:val="000000"/>
        </w:rPr>
        <w:t xml:space="preserve"> 
1. Общие положения</w:t>
      </w:r>
    </w:p>
    <w:bookmarkEnd w:id="2"/>
    <w:p>
      <w:pPr>
        <w:spacing w:after="0"/>
        <w:ind w:left="0"/>
        <w:jc w:val="both"/>
      </w:pPr>
      <w:r>
        <w:rPr>
          <w:rFonts w:ascii="Times New Roman"/>
          <w:b w:val="false"/>
          <w:i w:val="false"/>
          <w:color w:val="000000"/>
          <w:sz w:val="28"/>
        </w:rPr>
        <w:t>      Генеральный план города Актобе Актюбинской области (далее – Генеральный план) разработан в соответствии с требованиями </w:t>
      </w:r>
      <w:r>
        <w:rPr>
          <w:rFonts w:ascii="Times New Roman"/>
          <w:b w:val="false"/>
          <w:i w:val="false"/>
          <w:color w:val="000000"/>
          <w:sz w:val="28"/>
        </w:rPr>
        <w:t>Земельного</w:t>
      </w:r>
      <w:r>
        <w:rPr>
          <w:rFonts w:ascii="Times New Roman"/>
          <w:b w:val="false"/>
          <w:i w:val="false"/>
          <w:color w:val="000000"/>
          <w:sz w:val="28"/>
        </w:rPr>
        <w:t>, </w:t>
      </w:r>
      <w:r>
        <w:rPr>
          <w:rFonts w:ascii="Times New Roman"/>
          <w:b w:val="false"/>
          <w:i w:val="false"/>
          <w:color w:val="000000"/>
          <w:sz w:val="28"/>
        </w:rPr>
        <w:t>Экологического кодексов</w:t>
      </w:r>
      <w:r>
        <w:rPr>
          <w:rFonts w:ascii="Times New Roman"/>
          <w:b w:val="false"/>
          <w:i w:val="false"/>
          <w:color w:val="000000"/>
          <w:sz w:val="28"/>
        </w:rPr>
        <w:t>, законов Республики Казахстан </w:t>
      </w:r>
      <w:r>
        <w:rPr>
          <w:rFonts w:ascii="Times New Roman"/>
          <w:b w:val="false"/>
          <w:i w:val="false"/>
          <w:color w:val="000000"/>
          <w:sz w:val="28"/>
        </w:rPr>
        <w:t>«Об архитектурной, градостроительной и строительной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и нормативных документов Республики Казахстан, относящихся к сфере градостроительного проектирования.</w:t>
      </w:r>
      <w:r>
        <w:br/>
      </w:r>
      <w:r>
        <w:rPr>
          <w:rFonts w:ascii="Times New Roman"/>
          <w:b w:val="false"/>
          <w:i w:val="false"/>
          <w:color w:val="000000"/>
          <w:sz w:val="28"/>
        </w:rPr>
        <w:t>
      В основу разработки Генерального плана положена </w:t>
      </w:r>
      <w:r>
        <w:rPr>
          <w:rFonts w:ascii="Times New Roman"/>
          <w:b w:val="false"/>
          <w:i w:val="false"/>
          <w:color w:val="000000"/>
          <w:sz w:val="28"/>
        </w:rPr>
        <w:t>Прогнозная схема</w:t>
      </w:r>
      <w:r>
        <w:rPr>
          <w:rFonts w:ascii="Times New Roman"/>
          <w:b w:val="false"/>
          <w:i w:val="false"/>
          <w:color w:val="000000"/>
          <w:sz w:val="28"/>
        </w:rPr>
        <w:t xml:space="preserve"> территориально-пространственного развития страны до 2020 года, утвержденная Указом Президента Республики Казахстан от 21 июля 2011 года № 118, программы социально-экономического развития Актюбинской области, города Актобе и другие государственные и региональные программы, относящиеся к развитию города Актобе.</w:t>
      </w:r>
      <w:r>
        <w:br/>
      </w:r>
      <w:r>
        <w:rPr>
          <w:rFonts w:ascii="Times New Roman"/>
          <w:b w:val="false"/>
          <w:i w:val="false"/>
          <w:color w:val="000000"/>
          <w:sz w:val="28"/>
        </w:rPr>
        <w:t>
      В Генеральном плане приняты следующие проектные периоды:</w:t>
      </w:r>
    </w:p>
    <w:tbl>
      <w:tblPr>
        <w:tblW w:w="0" w:type="auto"/>
        <w:tblCellSpacing w:w="0" w:type="auto"/>
        <w:tblBorders>
          <w:top w:val="none"/>
          <w:left w:val="none"/>
          <w:bottom w:val="none"/>
          <w:right w:val="none"/>
          <w:insideH w:val="none"/>
          <w:insideV w:val="none"/>
        </w:tblBorders>
      </w:tblPr>
      <w:tblGrid>
        <w:gridCol w:w="8343"/>
        <w:gridCol w:w="1697"/>
        <w:gridCol w:w="3960"/>
      </w:tblGrid>
      <w:tr>
        <w:trPr>
          <w:trHeight w:val="30" w:hRule="atLeast"/>
        </w:trPr>
        <w:tc>
          <w:tcPr>
            <w:tcW w:w="834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первая очередь строительства</w:t>
            </w:r>
          </w:p>
        </w:tc>
        <w:tc>
          <w:tcPr>
            <w:tcW w:w="16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9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2020 года;</w:t>
            </w:r>
          </w:p>
        </w:tc>
      </w:tr>
      <w:tr>
        <w:trPr>
          <w:trHeight w:val="30" w:hRule="atLeast"/>
        </w:trPr>
        <w:tc>
          <w:tcPr>
            <w:tcW w:w="834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расчетный срок Генерального плана</w:t>
            </w:r>
          </w:p>
        </w:tc>
        <w:tc>
          <w:tcPr>
            <w:tcW w:w="16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9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2030 года;</w:t>
            </w:r>
          </w:p>
        </w:tc>
      </w:tr>
      <w:tr>
        <w:trPr>
          <w:trHeight w:val="30" w:hRule="atLeast"/>
        </w:trPr>
        <w:tc>
          <w:tcPr>
            <w:tcW w:w="834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прогнозный (концептуальный) период </w:t>
            </w:r>
          </w:p>
        </w:tc>
        <w:tc>
          <w:tcPr>
            <w:tcW w:w="16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9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2040 года.</w:t>
            </w:r>
          </w:p>
        </w:tc>
      </w:tr>
    </w:tbl>
    <w:bookmarkStart w:name="z7" w:id="3"/>
    <w:p>
      <w:pPr>
        <w:spacing w:after="0"/>
        <w:ind w:left="0"/>
        <w:jc w:val="left"/>
      </w:pPr>
      <w:r>
        <w:rPr>
          <w:rFonts w:ascii="Times New Roman"/>
          <w:b/>
          <w:i w:val="false"/>
          <w:color w:val="000000"/>
        </w:rPr>
        <w:t xml:space="preserve"> 
2. Назначение Генерального плана</w:t>
      </w:r>
    </w:p>
    <w:bookmarkEnd w:id="3"/>
    <w:p>
      <w:pPr>
        <w:spacing w:after="0"/>
        <w:ind w:left="0"/>
        <w:jc w:val="both"/>
      </w:pPr>
      <w:r>
        <w:rPr>
          <w:rFonts w:ascii="Times New Roman"/>
          <w:b w:val="false"/>
          <w:i w:val="false"/>
          <w:color w:val="000000"/>
          <w:sz w:val="28"/>
        </w:rPr>
        <w:t>      Генеральный план города определяет долгосрочные перспективы территориального развития города Актобе, формирования архитектурно-планировочной структуры, функционально-градостроительного зонирования территории, принципиальные решения по организации системы обслуживания и размещения объектов общегородского назначения, развития улично-дорожной сети и транспортного обслуживания, инженерной инфраструктуры, предложения по инженерной защите и подготовке территории, градостроительные мероприятия по улучшению экологической обстановки.</w:t>
      </w:r>
      <w:r>
        <w:br/>
      </w:r>
      <w:r>
        <w:rPr>
          <w:rFonts w:ascii="Times New Roman"/>
          <w:b w:val="false"/>
          <w:i w:val="false"/>
          <w:color w:val="000000"/>
          <w:sz w:val="28"/>
        </w:rPr>
        <w:t>
      Генеральный план является основой для разработки:</w:t>
      </w:r>
      <w:r>
        <w:br/>
      </w:r>
      <w:r>
        <w:rPr>
          <w:rFonts w:ascii="Times New Roman"/>
          <w:b w:val="false"/>
          <w:i w:val="false"/>
          <w:color w:val="000000"/>
          <w:sz w:val="28"/>
        </w:rPr>
        <w:t>
      1) первоочередных и перспективных программ социально-экономического развития города;</w:t>
      </w:r>
      <w:r>
        <w:br/>
      </w:r>
      <w:r>
        <w:rPr>
          <w:rFonts w:ascii="Times New Roman"/>
          <w:b w:val="false"/>
          <w:i w:val="false"/>
          <w:color w:val="000000"/>
          <w:sz w:val="28"/>
        </w:rPr>
        <w:t>
      2) проектов детальной планировки и застройки территории города;</w:t>
      </w:r>
      <w:r>
        <w:br/>
      </w:r>
      <w:r>
        <w:rPr>
          <w:rFonts w:ascii="Times New Roman"/>
          <w:b w:val="false"/>
          <w:i w:val="false"/>
          <w:color w:val="000000"/>
          <w:sz w:val="28"/>
        </w:rPr>
        <w:t xml:space="preserve">
      3) планов развития общественных, деловых, культурных и оздоровительных центров; </w:t>
      </w:r>
      <w:r>
        <w:br/>
      </w:r>
      <w:r>
        <w:rPr>
          <w:rFonts w:ascii="Times New Roman"/>
          <w:b w:val="false"/>
          <w:i w:val="false"/>
          <w:color w:val="000000"/>
          <w:sz w:val="28"/>
        </w:rPr>
        <w:t>
      4) программ реконструкции и развития жилых, производственных и коммунально-складских территорий;</w:t>
      </w:r>
      <w:r>
        <w:br/>
      </w:r>
      <w:r>
        <w:rPr>
          <w:rFonts w:ascii="Times New Roman"/>
          <w:b w:val="false"/>
          <w:i w:val="false"/>
          <w:color w:val="000000"/>
          <w:sz w:val="28"/>
        </w:rPr>
        <w:t>
      5) планов сохранения, бережного использования и преемственного развития исторической застройки и объектов исторического и культурного наследия;</w:t>
      </w:r>
      <w:r>
        <w:br/>
      </w:r>
      <w:r>
        <w:rPr>
          <w:rFonts w:ascii="Times New Roman"/>
          <w:b w:val="false"/>
          <w:i w:val="false"/>
          <w:color w:val="000000"/>
          <w:sz w:val="28"/>
        </w:rPr>
        <w:t>
      6) программ развития территорий рекреационных зон;</w:t>
      </w:r>
      <w:r>
        <w:br/>
      </w:r>
      <w:r>
        <w:rPr>
          <w:rFonts w:ascii="Times New Roman"/>
          <w:b w:val="false"/>
          <w:i w:val="false"/>
          <w:color w:val="000000"/>
          <w:sz w:val="28"/>
        </w:rPr>
        <w:t>
      7) планов комплексного благоустройства и эстетической организации городской среды.</w:t>
      </w:r>
    </w:p>
    <w:bookmarkStart w:name="z8" w:id="4"/>
    <w:p>
      <w:pPr>
        <w:spacing w:after="0"/>
        <w:ind w:left="0"/>
        <w:jc w:val="left"/>
      </w:pPr>
      <w:r>
        <w:rPr>
          <w:rFonts w:ascii="Times New Roman"/>
          <w:b/>
          <w:i w:val="false"/>
          <w:color w:val="000000"/>
        </w:rPr>
        <w:t xml:space="preserve"> 
3. Природно-климатические и инженерно-геологические аспекты</w:t>
      </w:r>
    </w:p>
    <w:bookmarkEnd w:id="4"/>
    <w:p>
      <w:pPr>
        <w:spacing w:after="0"/>
        <w:ind w:left="0"/>
        <w:jc w:val="both"/>
      </w:pPr>
      <w:r>
        <w:rPr>
          <w:rFonts w:ascii="Times New Roman"/>
          <w:b w:val="false"/>
          <w:i w:val="false"/>
          <w:color w:val="000000"/>
          <w:sz w:val="28"/>
        </w:rPr>
        <w:t>      Климат резко континентальный и характеризуется большой изменчивостью температуры, влажности и других метеорологических элементов, как в суточном, так и годовом ходе. Для Актобе характерен жесткий ветровой режим с повышенной повторяемостью сильных ветров и характеризуется небольшим преобладанием ветров южных составляющих зимой и северных составляющих – летом. Город Актобе согласно СНиП РК 2.04-01-2010 «Строительная климатология» расположен в III-А строительно-климатическом подрайоне.</w:t>
      </w:r>
      <w:r>
        <w:br/>
      </w:r>
      <w:r>
        <w:rPr>
          <w:rFonts w:ascii="Times New Roman"/>
          <w:b w:val="false"/>
          <w:i w:val="false"/>
          <w:color w:val="000000"/>
          <w:sz w:val="28"/>
        </w:rPr>
        <w:t>
      Территория расположена в Актюбинском Приуралье на поверхности крайней восточной части Урало-Эмбенского плато на полого-волнистой поверхности I надпойменной террасы реки Илек. Поверхность террасы представляет собой слабоволнистую равнину с общим уклоном на северо-запад и к руслу реки Илек. Абсолютные отметки поверхности рельефа колеблются в пределах 209,8-210,1 м.</w:t>
      </w:r>
      <w:r>
        <w:br/>
      </w:r>
      <w:r>
        <w:rPr>
          <w:rFonts w:ascii="Times New Roman"/>
          <w:b w:val="false"/>
          <w:i w:val="false"/>
          <w:color w:val="000000"/>
          <w:sz w:val="28"/>
        </w:rPr>
        <w:t>
      По гидрографической принадлежности территория относится к бассейну реки Илек и ее притоков Каргала, Жинишке, Тамды и Сазда. На реке Илек построено Актюбинское водохранилище, а на реке Сазда – Саздинское.</w:t>
      </w:r>
      <w:r>
        <w:br/>
      </w:r>
      <w:r>
        <w:rPr>
          <w:rFonts w:ascii="Times New Roman"/>
          <w:b w:val="false"/>
          <w:i w:val="false"/>
          <w:color w:val="000000"/>
          <w:sz w:val="28"/>
        </w:rPr>
        <w:t>
      Территория лежит в пределах подзоны умеренно-сухой степи с темно-каштановыми почвами. Озеленение осуществляется путем посадки искусственных насаждений.</w:t>
      </w:r>
      <w:r>
        <w:br/>
      </w:r>
      <w:r>
        <w:rPr>
          <w:rFonts w:ascii="Times New Roman"/>
          <w:b w:val="false"/>
          <w:i w:val="false"/>
          <w:color w:val="000000"/>
          <w:sz w:val="28"/>
        </w:rPr>
        <w:t>
      Из опасных геологических и гидрогеологических процессов и явлений на территории города и вновь осваиваемых площадях отмечены следующие:</w:t>
      </w:r>
      <w:r>
        <w:br/>
      </w:r>
      <w:r>
        <w:rPr>
          <w:rFonts w:ascii="Times New Roman"/>
          <w:b w:val="false"/>
          <w:i w:val="false"/>
          <w:color w:val="000000"/>
          <w:sz w:val="28"/>
        </w:rPr>
        <w:t xml:space="preserve">
      1) просадочность: просадочными свойствами на территории города обладают суглинки, супеси и глины; </w:t>
      </w:r>
      <w:r>
        <w:br/>
      </w:r>
      <w:r>
        <w:rPr>
          <w:rFonts w:ascii="Times New Roman"/>
          <w:b w:val="false"/>
          <w:i w:val="false"/>
          <w:color w:val="000000"/>
          <w:sz w:val="28"/>
        </w:rPr>
        <w:t>
      2) склоновые процессы, характеризующиеся широким распространением оползней и оплывин;</w:t>
      </w:r>
      <w:r>
        <w:br/>
      </w:r>
      <w:r>
        <w:rPr>
          <w:rFonts w:ascii="Times New Roman"/>
          <w:b w:val="false"/>
          <w:i w:val="false"/>
          <w:color w:val="000000"/>
          <w:sz w:val="28"/>
        </w:rPr>
        <w:t>
      3) эрозия: наблюдается донная, боковая эрозия в руслах рек и овражная эрозия на склонах без постоянных водотоков;</w:t>
      </w:r>
      <w:r>
        <w:br/>
      </w:r>
      <w:r>
        <w:rPr>
          <w:rFonts w:ascii="Times New Roman"/>
          <w:b w:val="false"/>
          <w:i w:val="false"/>
          <w:color w:val="000000"/>
          <w:sz w:val="28"/>
        </w:rPr>
        <w:t xml:space="preserve">
      4) набухание, приводящее к увеличению пористости и уменьшению прочности грунта; </w:t>
      </w:r>
      <w:r>
        <w:br/>
      </w:r>
      <w:r>
        <w:rPr>
          <w:rFonts w:ascii="Times New Roman"/>
          <w:b w:val="false"/>
          <w:i w:val="false"/>
          <w:color w:val="000000"/>
          <w:sz w:val="28"/>
        </w:rPr>
        <w:t>
      5) коррозийная активность грунтов и засоленность, характеризующиеся высоким уровнем воздействия по отношению к железу, свинцовым оболочкам кабеля, алюминиевой оболочке кабеля;</w:t>
      </w:r>
      <w:r>
        <w:br/>
      </w:r>
      <w:r>
        <w:rPr>
          <w:rFonts w:ascii="Times New Roman"/>
          <w:b w:val="false"/>
          <w:i w:val="false"/>
          <w:color w:val="000000"/>
          <w:sz w:val="28"/>
        </w:rPr>
        <w:t>
      6) карст, опасные явления, приводящие к образованию пустот в породе, сопровождающиеся часто провалами, образованием воронок на поверхности. На исследуемой территории проявление карстовых процессов возможно на территории Жилянского месторождения калийных солей.</w:t>
      </w:r>
      <w:r>
        <w:br/>
      </w:r>
      <w:r>
        <w:rPr>
          <w:rFonts w:ascii="Times New Roman"/>
          <w:b w:val="false"/>
          <w:i w:val="false"/>
          <w:color w:val="000000"/>
          <w:sz w:val="28"/>
        </w:rPr>
        <w:t>
      Существующее водоснабжение города Актобе осуществляется за счет подземных вод аллювиальных отложений долины реки Илек и ее притоков (Каргалы, Тамды, Сазды). Общая величина утвержденных для хозяйственно-питьевых нужд запасов подземных вод составляет 325,6 тыс. м</w:t>
      </w:r>
      <w:r>
        <w:rPr>
          <w:rFonts w:ascii="Times New Roman"/>
          <w:b w:val="false"/>
          <w:i w:val="false"/>
          <w:color w:val="000000"/>
          <w:vertAlign w:val="superscript"/>
        </w:rPr>
        <w:t>3</w:t>
      </w:r>
      <w:r>
        <w:rPr>
          <w:rFonts w:ascii="Times New Roman"/>
          <w:b w:val="false"/>
          <w:i w:val="false"/>
          <w:color w:val="000000"/>
          <w:sz w:val="28"/>
        </w:rPr>
        <w:t>/сут, а неутвержденных – 25,1 тыс. м</w:t>
      </w:r>
      <w:r>
        <w:rPr>
          <w:rFonts w:ascii="Times New Roman"/>
          <w:b w:val="false"/>
          <w:i w:val="false"/>
          <w:color w:val="000000"/>
          <w:vertAlign w:val="superscript"/>
        </w:rPr>
        <w:t>3</w:t>
      </w:r>
      <w:r>
        <w:rPr>
          <w:rFonts w:ascii="Times New Roman"/>
          <w:b w:val="false"/>
          <w:i w:val="false"/>
          <w:color w:val="000000"/>
          <w:sz w:val="28"/>
        </w:rPr>
        <w:t>/сут.</w:t>
      </w:r>
    </w:p>
    <w:bookmarkStart w:name="z9" w:id="5"/>
    <w:p>
      <w:pPr>
        <w:spacing w:after="0"/>
        <w:ind w:left="0"/>
        <w:jc w:val="left"/>
      </w:pPr>
      <w:r>
        <w:rPr>
          <w:rFonts w:ascii="Times New Roman"/>
          <w:b/>
          <w:i w:val="false"/>
          <w:color w:val="000000"/>
        </w:rPr>
        <w:t xml:space="preserve"> 
4. Социально-экономическое развитие</w:t>
      </w:r>
    </w:p>
    <w:bookmarkEnd w:id="5"/>
    <w:bookmarkStart w:name="z10" w:id="6"/>
    <w:p>
      <w:pPr>
        <w:spacing w:after="0"/>
        <w:ind w:left="0"/>
        <w:jc w:val="both"/>
      </w:pPr>
      <w:r>
        <w:rPr>
          <w:rFonts w:ascii="Times New Roman"/>
          <w:b w:val="false"/>
          <w:i w:val="false"/>
          <w:color w:val="000000"/>
          <w:sz w:val="28"/>
        </w:rPr>
        <w:t>
1. Основные направления социально-экономического развития</w:t>
      </w:r>
    </w:p>
    <w:bookmarkEnd w:id="6"/>
    <w:p>
      <w:pPr>
        <w:spacing w:after="0"/>
        <w:ind w:left="0"/>
        <w:jc w:val="both"/>
      </w:pPr>
      <w:r>
        <w:rPr>
          <w:rFonts w:ascii="Times New Roman"/>
          <w:b w:val="false"/>
          <w:i w:val="false"/>
          <w:color w:val="000000"/>
          <w:sz w:val="28"/>
        </w:rPr>
        <w:t>      Генеральным планом город Актобе рассматривается как центр Актюбинской области и Актюбинской агломерации.</w:t>
      </w:r>
      <w:r>
        <w:br/>
      </w:r>
      <w:r>
        <w:rPr>
          <w:rFonts w:ascii="Times New Roman"/>
          <w:b w:val="false"/>
          <w:i w:val="false"/>
          <w:color w:val="000000"/>
          <w:sz w:val="28"/>
        </w:rPr>
        <w:t>
      Основой промышленного производства города Актобе является металлургическая, химическая промышленность, производство готовых металлических изделий и производство прочих неметаллических минеральных продуктов.</w:t>
      </w:r>
      <w:r>
        <w:br/>
      </w:r>
      <w:r>
        <w:rPr>
          <w:rFonts w:ascii="Times New Roman"/>
          <w:b w:val="false"/>
          <w:i w:val="false"/>
          <w:color w:val="000000"/>
          <w:sz w:val="28"/>
        </w:rPr>
        <w:t>
      Главной задачей экономического развития города Актобе является вывод на проектную мощность новых предприятий и модернизация работающих производств, расширение номенклатуры производимой продукции, качество которой отвечает мировым стандартам.</w:t>
      </w:r>
      <w:r>
        <w:br/>
      </w:r>
      <w:r>
        <w:rPr>
          <w:rFonts w:ascii="Times New Roman"/>
          <w:b w:val="false"/>
          <w:i w:val="false"/>
          <w:color w:val="000000"/>
          <w:sz w:val="28"/>
        </w:rPr>
        <w:t>
      Основными направлениями улучшения качества жизни населения и социально-экономического развития города будут развитие жилищного строительства, удовлетворение потребностей населения в образовании, здравоохранении, культурно-бытовом обслуживании и объектах инженерно- транспортной инфраструктуры.</w:t>
      </w:r>
    </w:p>
    <w:bookmarkStart w:name="z11" w:id="7"/>
    <w:p>
      <w:pPr>
        <w:spacing w:after="0"/>
        <w:ind w:left="0"/>
        <w:jc w:val="both"/>
      </w:pPr>
      <w:r>
        <w:rPr>
          <w:rFonts w:ascii="Times New Roman"/>
          <w:b w:val="false"/>
          <w:i w:val="false"/>
          <w:color w:val="000000"/>
          <w:sz w:val="28"/>
        </w:rPr>
        <w:t>
2. Демография</w:t>
      </w:r>
    </w:p>
    <w:bookmarkEnd w:id="7"/>
    <w:p>
      <w:pPr>
        <w:spacing w:after="0"/>
        <w:ind w:left="0"/>
        <w:jc w:val="both"/>
      </w:pPr>
      <w:r>
        <w:rPr>
          <w:rFonts w:ascii="Times New Roman"/>
          <w:b w:val="false"/>
          <w:i w:val="false"/>
          <w:color w:val="000000"/>
          <w:sz w:val="28"/>
        </w:rPr>
        <w:t>      Численность населения городской администрации Актобе на начало 2015 года составляла 439,3 тыс. человек, из них: в городе Актобе – 387,8 тыс. чел., сельское население – 51,5 тыс. человек.</w:t>
      </w:r>
      <w:r>
        <w:br/>
      </w:r>
      <w:r>
        <w:rPr>
          <w:rFonts w:ascii="Times New Roman"/>
          <w:b w:val="false"/>
          <w:i w:val="false"/>
          <w:color w:val="000000"/>
          <w:sz w:val="28"/>
        </w:rPr>
        <w:t>
      Численность населения в границах современного города Актобе (с учетом населенных пунктов Каргалинское, Магаджановское, Жанаконыс, Илек, Россовхоз, Разъезд 39) на начало 2015 года составляла 418,9 тыс. человек.</w:t>
      </w:r>
      <w:r>
        <w:br/>
      </w:r>
      <w:r>
        <w:rPr>
          <w:rFonts w:ascii="Times New Roman"/>
          <w:b w:val="false"/>
          <w:i w:val="false"/>
          <w:color w:val="000000"/>
          <w:sz w:val="28"/>
        </w:rPr>
        <w:t xml:space="preserve">
      Генеральным планом предусматривается расширение городской территории за счет земель сельских округов и включения населенных пунктов: аула Кенеса Нокина, сел Кызылжар, Пригородное, Украинка, Акжар в состав города. В проектных границах Генерального плана города Актобе фактическая численность населения на конец 2014 года составляла 429,9 тыс. человек. </w:t>
      </w:r>
      <w:r>
        <w:br/>
      </w:r>
      <w:r>
        <w:rPr>
          <w:rFonts w:ascii="Times New Roman"/>
          <w:b w:val="false"/>
          <w:i w:val="false"/>
          <w:color w:val="000000"/>
          <w:sz w:val="28"/>
        </w:rPr>
        <w:t>
      Проектная численность населения города Актобе составит:</w:t>
      </w:r>
      <w:r>
        <w:br/>
      </w:r>
      <w:r>
        <w:rPr>
          <w:rFonts w:ascii="Times New Roman"/>
          <w:b w:val="false"/>
          <w:i w:val="false"/>
          <w:color w:val="000000"/>
          <w:sz w:val="28"/>
        </w:rPr>
        <w:t>
      1) к расчетному сроку на 2030 год – 625,0 тыс. человек;</w:t>
      </w:r>
      <w:r>
        <w:br/>
      </w:r>
      <w:r>
        <w:rPr>
          <w:rFonts w:ascii="Times New Roman"/>
          <w:b w:val="false"/>
          <w:i w:val="false"/>
          <w:color w:val="000000"/>
          <w:sz w:val="28"/>
        </w:rPr>
        <w:t xml:space="preserve">
      2) на первоочередной этап развития до 2020 года – 470 тыс. человек. </w:t>
      </w:r>
    </w:p>
    <w:bookmarkStart w:name="z12" w:id="8"/>
    <w:p>
      <w:pPr>
        <w:spacing w:after="0"/>
        <w:ind w:left="0"/>
        <w:jc w:val="both"/>
      </w:pPr>
      <w:r>
        <w:rPr>
          <w:rFonts w:ascii="Times New Roman"/>
          <w:b w:val="false"/>
          <w:i w:val="false"/>
          <w:color w:val="000000"/>
          <w:sz w:val="28"/>
        </w:rPr>
        <w:t>
3. Жилищно-гражданское строительство</w:t>
      </w:r>
    </w:p>
    <w:bookmarkEnd w:id="8"/>
    <w:p>
      <w:pPr>
        <w:spacing w:after="0"/>
        <w:ind w:left="0"/>
        <w:jc w:val="both"/>
      </w:pPr>
      <w:r>
        <w:rPr>
          <w:rFonts w:ascii="Times New Roman"/>
          <w:b w:val="false"/>
          <w:i w:val="false"/>
          <w:color w:val="000000"/>
          <w:sz w:val="28"/>
        </w:rPr>
        <w:t>      Жилой фонд современного города Актобе с учетом сельских населенных пунктов (села Каргалинка, Жанаконыс, Магаджановское, Елек), расположенных в границах действующего Генерального плана, составляет 7,72 млн.м</w:t>
      </w:r>
      <w:r>
        <w:rPr>
          <w:rFonts w:ascii="Times New Roman"/>
          <w:b w:val="false"/>
          <w:i w:val="false"/>
          <w:color w:val="000000"/>
          <w:vertAlign w:val="superscript"/>
        </w:rPr>
        <w:t>2</w:t>
      </w:r>
      <w:r>
        <w:rPr>
          <w:rFonts w:ascii="Times New Roman"/>
          <w:b w:val="false"/>
          <w:i w:val="false"/>
          <w:color w:val="000000"/>
          <w:sz w:val="28"/>
        </w:rPr>
        <w:t xml:space="preserve"> общей площади, из них:</w:t>
      </w:r>
      <w:r>
        <w:br/>
      </w:r>
      <w:r>
        <w:rPr>
          <w:rFonts w:ascii="Times New Roman"/>
          <w:b w:val="false"/>
          <w:i w:val="false"/>
          <w:color w:val="000000"/>
          <w:sz w:val="28"/>
        </w:rPr>
        <w:t>
      1) жилой фонд по многоквартирным домам на тот же период составил 5,2 млн.м</w:t>
      </w:r>
      <w:r>
        <w:rPr>
          <w:rFonts w:ascii="Times New Roman"/>
          <w:b w:val="false"/>
          <w:i w:val="false"/>
          <w:color w:val="000000"/>
          <w:vertAlign w:val="superscript"/>
        </w:rPr>
        <w:t>2</w:t>
      </w:r>
      <w:r>
        <w:rPr>
          <w:rFonts w:ascii="Times New Roman"/>
          <w:b w:val="false"/>
          <w:i w:val="false"/>
          <w:color w:val="000000"/>
          <w:sz w:val="28"/>
        </w:rPr>
        <w:t xml:space="preserve"> общей площади;</w:t>
      </w:r>
      <w:r>
        <w:br/>
      </w:r>
      <w:r>
        <w:rPr>
          <w:rFonts w:ascii="Times New Roman"/>
          <w:b w:val="false"/>
          <w:i w:val="false"/>
          <w:color w:val="000000"/>
          <w:sz w:val="28"/>
        </w:rPr>
        <w:t>
      2) по частным домам (усадебная застройка) - 2,5 млн.м</w:t>
      </w:r>
      <w:r>
        <w:rPr>
          <w:rFonts w:ascii="Times New Roman"/>
          <w:b w:val="false"/>
          <w:i w:val="false"/>
          <w:color w:val="000000"/>
          <w:vertAlign w:val="superscript"/>
        </w:rPr>
        <w:t>2</w:t>
      </w:r>
      <w:r>
        <w:rPr>
          <w:rFonts w:ascii="Times New Roman"/>
          <w:b w:val="false"/>
          <w:i w:val="false"/>
          <w:color w:val="000000"/>
          <w:sz w:val="28"/>
        </w:rPr>
        <w:t xml:space="preserve"> общей площади.</w:t>
      </w:r>
      <w:r>
        <w:br/>
      </w:r>
      <w:r>
        <w:rPr>
          <w:rFonts w:ascii="Times New Roman"/>
          <w:b w:val="false"/>
          <w:i w:val="false"/>
          <w:color w:val="000000"/>
          <w:sz w:val="28"/>
        </w:rPr>
        <w:t>
      Среднегодовой ввод жилья за рассматриваемый период по городской администрации Актобе составил 317,8 тыс.м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Средняя обеспеченность жильем в отчетном году составила 18,4 м</w:t>
      </w:r>
      <w:r>
        <w:rPr>
          <w:rFonts w:ascii="Times New Roman"/>
          <w:b w:val="false"/>
          <w:i w:val="false"/>
          <w:color w:val="000000"/>
          <w:vertAlign w:val="superscript"/>
        </w:rPr>
        <w:t>2</w:t>
      </w:r>
      <w:r>
        <w:rPr>
          <w:rFonts w:ascii="Times New Roman"/>
          <w:b w:val="false"/>
          <w:i w:val="false"/>
          <w:color w:val="000000"/>
          <w:sz w:val="28"/>
        </w:rPr>
        <w:t xml:space="preserve"> на одного человека.</w:t>
      </w:r>
      <w:r>
        <w:br/>
      </w:r>
      <w:r>
        <w:rPr>
          <w:rFonts w:ascii="Times New Roman"/>
          <w:b w:val="false"/>
          <w:i w:val="false"/>
          <w:color w:val="000000"/>
          <w:sz w:val="28"/>
        </w:rPr>
        <w:t>
      Снос жилищного фонда под реконструкцию составит 240,82 га.</w:t>
      </w:r>
      <w:r>
        <w:br/>
      </w:r>
      <w:r>
        <w:rPr>
          <w:rFonts w:ascii="Times New Roman"/>
          <w:b w:val="false"/>
          <w:i w:val="false"/>
          <w:color w:val="000000"/>
          <w:sz w:val="28"/>
        </w:rPr>
        <w:t>
      Всего за 2015 - 2030 годы намечено построить 8028,9 тыс.м</w:t>
      </w:r>
      <w:r>
        <w:rPr>
          <w:rFonts w:ascii="Times New Roman"/>
          <w:b w:val="false"/>
          <w:i w:val="false"/>
          <w:color w:val="000000"/>
          <w:vertAlign w:val="superscript"/>
        </w:rPr>
        <w:t>2</w:t>
      </w:r>
      <w:r>
        <w:rPr>
          <w:rFonts w:ascii="Times New Roman"/>
          <w:b w:val="false"/>
          <w:i w:val="false"/>
          <w:color w:val="000000"/>
          <w:sz w:val="28"/>
        </w:rPr>
        <w:t xml:space="preserve"> жилья, в т.ч. до 2020 года – 2273,9 тыс.м</w:t>
      </w:r>
      <w:r>
        <w:rPr>
          <w:rFonts w:ascii="Times New Roman"/>
          <w:b w:val="false"/>
          <w:i w:val="false"/>
          <w:color w:val="000000"/>
          <w:vertAlign w:val="superscript"/>
        </w:rPr>
        <w:t>2</w:t>
      </w:r>
      <w:r>
        <w:rPr>
          <w:rFonts w:ascii="Times New Roman"/>
          <w:b w:val="false"/>
          <w:i w:val="false"/>
          <w:color w:val="000000"/>
          <w:sz w:val="28"/>
        </w:rPr>
        <w:t xml:space="preserve"> и на расчетный срок – 5755 тыс.м2.</w:t>
      </w:r>
      <w:r>
        <w:br/>
      </w:r>
      <w:r>
        <w:rPr>
          <w:rFonts w:ascii="Times New Roman"/>
          <w:b w:val="false"/>
          <w:i w:val="false"/>
          <w:color w:val="000000"/>
          <w:sz w:val="28"/>
        </w:rPr>
        <w:t>
      Жилищная обеспеченность возрастет до 21 м</w:t>
      </w:r>
      <w:r>
        <w:rPr>
          <w:rFonts w:ascii="Times New Roman"/>
          <w:b w:val="false"/>
          <w:i w:val="false"/>
          <w:color w:val="000000"/>
          <w:vertAlign w:val="superscript"/>
        </w:rPr>
        <w:t>2</w:t>
      </w:r>
      <w:r>
        <w:rPr>
          <w:rFonts w:ascii="Times New Roman"/>
          <w:b w:val="false"/>
          <w:i w:val="false"/>
          <w:color w:val="000000"/>
          <w:sz w:val="28"/>
        </w:rPr>
        <w:t xml:space="preserve"> на человека – на первую очередь и 25,0 - на 2030 год.</w:t>
      </w:r>
      <w:r>
        <w:br/>
      </w:r>
      <w:r>
        <w:rPr>
          <w:rFonts w:ascii="Times New Roman"/>
          <w:b w:val="false"/>
          <w:i w:val="false"/>
          <w:color w:val="000000"/>
          <w:sz w:val="28"/>
        </w:rPr>
        <w:t>
      Дома усадебной застройки (коттеджи) составят 4,6 %, среднеэтажные (4-5 этажные) – 80,2 %, и многоэтажные (6 и более этажей) – 15,2 % объемов жилищного строительства.</w:t>
      </w:r>
      <w:r>
        <w:br/>
      </w:r>
      <w:r>
        <w:rPr>
          <w:rFonts w:ascii="Times New Roman"/>
          <w:b w:val="false"/>
          <w:i w:val="false"/>
          <w:color w:val="000000"/>
          <w:sz w:val="28"/>
        </w:rPr>
        <w:t>
</w:t>
      </w:r>
      <w:r>
        <w:rPr>
          <w:rFonts w:ascii="Times New Roman"/>
          <w:b w:val="false"/>
          <w:i/>
          <w:color w:val="000000"/>
          <w:sz w:val="28"/>
        </w:rPr>
        <w:t>      Реконструкция городских территорий.</w:t>
      </w:r>
      <w:r>
        <w:br/>
      </w:r>
      <w:r>
        <w:rPr>
          <w:rFonts w:ascii="Times New Roman"/>
          <w:b w:val="false"/>
          <w:i w:val="false"/>
          <w:color w:val="000000"/>
          <w:sz w:val="28"/>
        </w:rPr>
        <w:t>
      Анализ территории и состояния жилого фонда, а также учет комплекса планировочных факторов позволил выделить участки, занятые преимущественно малоэтажным жильем с приусадебными участками, на которых предусмотрены реконструктивные мероприятия со сносом существующего жилья общей площадью 264,9 тыс. м</w:t>
      </w:r>
      <w:r>
        <w:rPr>
          <w:rFonts w:ascii="Times New Roman"/>
          <w:b w:val="false"/>
          <w:i w:val="false"/>
          <w:color w:val="000000"/>
          <w:vertAlign w:val="superscript"/>
        </w:rPr>
        <w:t>2</w:t>
      </w:r>
      <w:r>
        <w:rPr>
          <w:rFonts w:ascii="Times New Roman"/>
          <w:b w:val="false"/>
          <w:i w:val="false"/>
          <w:color w:val="000000"/>
          <w:sz w:val="28"/>
        </w:rPr>
        <w:t xml:space="preserve"> на территории 240,8 га.</w:t>
      </w:r>
      <w:r>
        <w:br/>
      </w:r>
      <w:r>
        <w:rPr>
          <w:rFonts w:ascii="Times New Roman"/>
          <w:b w:val="false"/>
          <w:i w:val="false"/>
          <w:color w:val="000000"/>
          <w:sz w:val="28"/>
        </w:rPr>
        <w:t>
      </w:t>
      </w:r>
      <w:r>
        <w:rPr>
          <w:rFonts w:ascii="Times New Roman"/>
          <w:b w:val="false"/>
          <w:i/>
          <w:color w:val="000000"/>
          <w:sz w:val="28"/>
        </w:rPr>
        <w:t>Капитальный ремонт жилого фонда.</w:t>
      </w:r>
      <w:r>
        <w:br/>
      </w:r>
      <w:r>
        <w:rPr>
          <w:rFonts w:ascii="Times New Roman"/>
          <w:b w:val="false"/>
          <w:i w:val="false"/>
          <w:color w:val="000000"/>
          <w:sz w:val="28"/>
        </w:rPr>
        <w:t>
      По данным городского управления архитектуры и строительства 382 многоквартирных дома общей площадью 764 тыс.м</w:t>
      </w:r>
      <w:r>
        <w:rPr>
          <w:rFonts w:ascii="Times New Roman"/>
          <w:b w:val="false"/>
          <w:i w:val="false"/>
          <w:color w:val="000000"/>
          <w:vertAlign w:val="superscript"/>
        </w:rPr>
        <w:t>2</w:t>
      </w:r>
      <w:r>
        <w:rPr>
          <w:rFonts w:ascii="Times New Roman"/>
          <w:b w:val="false"/>
          <w:i w:val="false"/>
          <w:color w:val="000000"/>
          <w:sz w:val="28"/>
        </w:rPr>
        <w:t xml:space="preserve"> требуют проведения капитального ремонта. </w:t>
      </w:r>
      <w:r>
        <w:br/>
      </w:r>
      <w:r>
        <w:rPr>
          <w:rFonts w:ascii="Times New Roman"/>
          <w:b w:val="false"/>
          <w:i w:val="false"/>
          <w:color w:val="000000"/>
          <w:sz w:val="28"/>
        </w:rPr>
        <w:t>
      Перечень крупнейших объектов социального, культурного и бытового значения, как согласованных с областными управлениями образования, здравоохранения, культуры, так и предлагаемых данным Генеральным планом представлен в следующих таблицах:</w:t>
      </w:r>
    </w:p>
    <w:bookmarkStart w:name="z13" w:id="9"/>
    <w:p>
      <w:pPr>
        <w:spacing w:after="0"/>
        <w:ind w:left="0"/>
        <w:jc w:val="both"/>
      </w:pPr>
      <w:r>
        <w:rPr>
          <w:rFonts w:ascii="Times New Roman"/>
          <w:b w:val="false"/>
          <w:i w:val="false"/>
          <w:color w:val="000000"/>
          <w:sz w:val="28"/>
        </w:rPr>
        <w:t>
      Перечень объектов социального, культурного и бытового значения,</w:t>
      </w:r>
      <w:r>
        <w:br/>
      </w:r>
      <w:r>
        <w:rPr>
          <w:rFonts w:ascii="Times New Roman"/>
          <w:b w:val="false"/>
          <w:i w:val="false"/>
          <w:color w:val="000000"/>
          <w:sz w:val="28"/>
        </w:rPr>
        <w:t>
                  намеченных к строительству до 2030 года</w:t>
      </w:r>
    </w:p>
    <w:bookmarkEnd w:id="9"/>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2"/>
        <w:gridCol w:w="4286"/>
        <w:gridCol w:w="2857"/>
        <w:gridCol w:w="2428"/>
        <w:gridCol w:w="1429"/>
        <w:gridCol w:w="1858"/>
      </w:tblGrid>
      <w:tr>
        <w:trPr>
          <w:trHeight w:val="300" w:hRule="atLeast"/>
        </w:trPr>
        <w:tc>
          <w:tcPr>
            <w:tcW w:w="1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2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Адрес</w:t>
            </w:r>
          </w:p>
        </w:tc>
        <w:tc>
          <w:tcPr>
            <w:tcW w:w="24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 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Мощность, емкость</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1-очередь</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Расчетный срок</w:t>
            </w:r>
          </w:p>
        </w:tc>
      </w:tr>
      <w:tr>
        <w:trPr>
          <w:trHeight w:val="285"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Внешкольное образование</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Дворец искусств на базе школы искусств имени Казангапа</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Нур-Актобе</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Центр детского и юношеского творчества в селе Жанаконыс</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 Жанаконыс</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Пристройка к городскому Дворцу школьников</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Центр внешкольной работы</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Каргалинский планировочный район («Заречный»)</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 профессионального лицея</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Жилой район «Жас-Канат»</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Объекты культуры</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Городской Дворец культуры</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1-ый жилой район</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Областной казахский театр драмы</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4-ый жилой район</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 пристройки к зданию областного историко-краеведческого музея</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экспонатов</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 2-го этажа пристройки к зданию областного планетария</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Здравоохранение</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Стационары</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койки</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Областная многопрофильная больница</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 Жанаконыс</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койки</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Городская многофункциональная больница</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Центральный планировочный</w:t>
            </w:r>
          </w:p>
          <w:p>
            <w:pPr>
              <w:spacing w:after="20"/>
              <w:ind w:left="20"/>
              <w:jc w:val="both"/>
            </w:pPr>
            <w:r>
              <w:rPr>
                <w:rFonts w:ascii="Times New Roman"/>
                <w:b w:val="false"/>
                <w:i w:val="false"/>
                <w:color w:val="000000"/>
                <w:sz w:val="20"/>
              </w:rPr>
              <w:t>район</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койки</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Городская детская больница</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Восточный планировочный район (Нур-Актобе)</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койки</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Офтальмологическая больница</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2-ой жилой район</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койки</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Больница сестринского ухода</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1-ый жилой район</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койки</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Противотуберкулезный диспансер</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 Жанаконыс</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койки</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Областной перинатальный центр</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 Жанаконыс</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койки</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Гемодиализный центр</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 Жанаконыс</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койки</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4.1.9.</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Онкологический центр</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 Жанаконыс</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койки</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4.1.10.</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Университетская клиника</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 Жанаконыс</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койки</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Областной Центр крови</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Поликлиники</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посещ./смену</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Городская поликлиника</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Батыс-2</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посещ./смену</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Городская поликлиника</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Нур-Актобе</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посещ./смену</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Городская стоматологическая поликлиника</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Батыс-2</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посещ./смену</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Фельдшерско-акушерский пункт в селе Елек</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посещ./смену</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Городская станция скорой помощи с тремя подстанциями на 150 тыс. вызовов, всего</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автомашин</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Базовая станция</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«Батыс-2»</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автомашин</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Подстанция</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«Нур-Актобе»</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автомашин</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Подстанция</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«Ясное»</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автомашин</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Подстанция</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«Москва»</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автомашин</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Медицинский пункт</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 разъезд</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посещ./смену</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Медицинский пункт</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 Украинка</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посещ./смену</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bl>
    <w:bookmarkStart w:name="z14" w:id="10"/>
    <w:p>
      <w:pPr>
        <w:spacing w:after="0"/>
        <w:ind w:left="0"/>
        <w:jc w:val="both"/>
      </w:pPr>
      <w:r>
        <w:rPr>
          <w:rFonts w:ascii="Times New Roman"/>
          <w:b w:val="false"/>
          <w:i w:val="false"/>
          <w:color w:val="000000"/>
          <w:sz w:val="28"/>
        </w:rPr>
        <w:t>
   Перечень крупнейших объектов социального, культурного и бытового</w:t>
      </w:r>
      <w:r>
        <w:br/>
      </w:r>
      <w:r>
        <w:rPr>
          <w:rFonts w:ascii="Times New Roman"/>
          <w:b w:val="false"/>
          <w:i w:val="false"/>
          <w:color w:val="000000"/>
          <w:sz w:val="28"/>
        </w:rPr>
        <w:t>
         значения, рекомендуемых к строительству до 2030 года</w:t>
      </w:r>
      <w:r>
        <w:br/>
      </w:r>
      <w:r>
        <w:rPr>
          <w:rFonts w:ascii="Times New Roman"/>
          <w:b w:val="false"/>
          <w:i w:val="false"/>
          <w:color w:val="000000"/>
          <w:sz w:val="28"/>
        </w:rPr>
        <w:t>
              (дополнительно к согласованным объектам)</w:t>
      </w:r>
    </w:p>
    <w:bookmarkEnd w:id="10"/>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4"/>
        <w:gridCol w:w="4142"/>
        <w:gridCol w:w="3714"/>
        <w:gridCol w:w="1714"/>
        <w:gridCol w:w="1572"/>
        <w:gridCol w:w="2144"/>
      </w:tblGrid>
      <w:tr>
        <w:trPr>
          <w:trHeight w:val="300" w:hRule="atLeast"/>
        </w:trPr>
        <w:tc>
          <w:tcPr>
            <w:tcW w:w="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3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Адрес</w:t>
            </w:r>
          </w:p>
        </w:tc>
        <w:tc>
          <w:tcPr>
            <w:tcW w:w="1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Мощность, емкость</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очередь</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Расчетный срок</w:t>
            </w:r>
          </w:p>
        </w:tc>
      </w:tr>
      <w:tr>
        <w:trPr>
          <w:trHeight w:val="285"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Дом-интернат для престарелых, ветеранов труда и войны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Саздинская ландшафтно-рекреационная зона</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Дом-интернат для престарелых, ветеранов труда и войны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Западный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Дом-интернат для престарелых, ветеранов труда и войны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Восточный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Дом-интернат для престарелых, ветеранов труда и войны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Каргалинская ландшафтно-рекреационная зона</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Дом-интернат для взрослых инвалидов с физическими нарушениями</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Саздинская ландшафтно-рекреационная зона</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Дом интернат для взрослых инвалидов с физическими нарушениями</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Западный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Психоневрологический интернат</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Западный планировочный район «Жанаконыс»</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Психоневрологический интернат</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Каргалинская ландшафтно-рекреационная зона</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606</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Психоневрологический интернат</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Илекский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606</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Детский дом-интернат</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Восточный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Областной Дворец школьников</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Илекский планировочный район (1-ый жилой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Физкультурно-оздоровительные комплексы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Илекский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r>
              <w:rPr>
                <w:rFonts w:ascii="Times New Roman"/>
                <w:b w:val="false"/>
                <w:i w:val="false"/>
                <w:color w:val="000000"/>
                <w:vertAlign w:val="superscript"/>
              </w:rPr>
              <w:t>2</w:t>
            </w:r>
            <w:r>
              <w:rPr>
                <w:rFonts w:ascii="Times New Roman"/>
                <w:b w:val="false"/>
                <w:i w:val="false"/>
                <w:color w:val="000000"/>
                <w:sz w:val="20"/>
              </w:rPr>
              <w:t xml:space="preserve"> площ. пола</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Физкультурно-оздоровительные комплексы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Западный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r>
              <w:rPr>
                <w:rFonts w:ascii="Times New Roman"/>
                <w:b w:val="false"/>
                <w:i w:val="false"/>
                <w:color w:val="000000"/>
                <w:vertAlign w:val="superscript"/>
              </w:rPr>
              <w:t>2</w:t>
            </w:r>
            <w:r>
              <w:rPr>
                <w:rFonts w:ascii="Times New Roman"/>
                <w:b w:val="false"/>
                <w:i w:val="false"/>
                <w:color w:val="000000"/>
                <w:sz w:val="20"/>
              </w:rPr>
              <w:t xml:space="preserve"> площ. пола</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Физкультурно-оздоровительные комплексы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Каргалинский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r>
              <w:rPr>
                <w:rFonts w:ascii="Times New Roman"/>
                <w:b w:val="false"/>
                <w:i w:val="false"/>
                <w:color w:val="000000"/>
                <w:vertAlign w:val="superscript"/>
              </w:rPr>
              <w:t>2</w:t>
            </w:r>
            <w:r>
              <w:rPr>
                <w:rFonts w:ascii="Times New Roman"/>
                <w:b w:val="false"/>
                <w:i w:val="false"/>
                <w:color w:val="000000"/>
                <w:sz w:val="20"/>
              </w:rPr>
              <w:t xml:space="preserve"> площ. пола</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4070</w:t>
            </w:r>
          </w:p>
        </w:tc>
      </w:tr>
      <w:tr>
        <w:trPr>
          <w:trHeight w:val="885"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Физкультурно-оздоровительные комплексы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Восточный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r>
              <w:rPr>
                <w:rFonts w:ascii="Times New Roman"/>
                <w:b w:val="false"/>
                <w:i w:val="false"/>
                <w:color w:val="000000"/>
                <w:vertAlign w:val="superscript"/>
              </w:rPr>
              <w:t>2</w:t>
            </w:r>
            <w:r>
              <w:rPr>
                <w:rFonts w:ascii="Times New Roman"/>
                <w:b w:val="false"/>
                <w:i w:val="false"/>
                <w:color w:val="000000"/>
                <w:sz w:val="20"/>
              </w:rPr>
              <w:t xml:space="preserve"> площ. пола</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Крытые бассейны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Батыс-2</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Крытые бассейны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1-ый жилой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Крытые бассейны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Каргалинский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Крытые бассейны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Восточный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Универсальный спортивно-зрелищный зал с искусственным льдом</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Батыс-2</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Универсальный спортивно-зрелищный зал с искусственным льдом</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Илекский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Универсальный спортивно-зрелищный зал с искусственным льдом</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Восточный планировочный район (Нур-Актобе 2)</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Дом культуры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Западный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Дом культуры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Илекский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Дом культуры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Центральный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Дом культуры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Каргалинский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Дом культуры (2 объекта)</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Восточный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Концертный зал</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Илекский планировочный район (1-ый жилой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Концертный зал</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Западный планировочный район (Батыс-3)</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Театры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Илекский планировочный район (1-ый жилой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1085</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Театры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Центральный (3-ий жилой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1085</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Цирк</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Центральный планировочный район («Москва»)</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Дворец торжеств</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Илекский планировочный район (1-ый жилой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Дворец бракосочетаний</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Илекский планировочный район («Оторвановка»)</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Комплексный центр бытового обслуживания</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Западный планировочный район (Батыс-2)</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65"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Комплексный центр бытового обслуживания</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Илекский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Комплексный центр бытового обслуживания</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Центральный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Комплексный центр бытового обслуживания</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Каргалинский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Комплексный центр бытового обслуживания</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Восточный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Торговые центры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Илекский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r>
              <w:rPr>
                <w:rFonts w:ascii="Times New Roman"/>
                <w:b w:val="false"/>
                <w:i w:val="false"/>
                <w:color w:val="000000"/>
                <w:vertAlign w:val="superscript"/>
              </w:rPr>
              <w:t>2</w:t>
            </w:r>
            <w:r>
              <w:rPr>
                <w:rFonts w:ascii="Times New Roman"/>
                <w:b w:val="false"/>
                <w:i w:val="false"/>
                <w:color w:val="000000"/>
                <w:sz w:val="20"/>
              </w:rPr>
              <w:t xml:space="preserve"> торг. площ.</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Торговые центры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Западный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r>
              <w:rPr>
                <w:rFonts w:ascii="Times New Roman"/>
                <w:b w:val="false"/>
                <w:i w:val="false"/>
                <w:color w:val="000000"/>
                <w:vertAlign w:val="superscript"/>
              </w:rPr>
              <w:t>2</w:t>
            </w:r>
            <w:r>
              <w:rPr>
                <w:rFonts w:ascii="Times New Roman"/>
                <w:b w:val="false"/>
                <w:i w:val="false"/>
                <w:color w:val="000000"/>
                <w:sz w:val="20"/>
              </w:rPr>
              <w:t xml:space="preserve"> торг. площ.</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Торговые центры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Центральный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r>
              <w:rPr>
                <w:rFonts w:ascii="Times New Roman"/>
                <w:b w:val="false"/>
                <w:i w:val="false"/>
                <w:color w:val="000000"/>
                <w:vertAlign w:val="superscript"/>
              </w:rPr>
              <w:t>2</w:t>
            </w:r>
            <w:r>
              <w:rPr>
                <w:rFonts w:ascii="Times New Roman"/>
                <w:b w:val="false"/>
                <w:i w:val="false"/>
                <w:color w:val="000000"/>
                <w:sz w:val="20"/>
              </w:rPr>
              <w:t xml:space="preserve"> торг. площ.</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Торговые центры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Каргалинский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r>
              <w:rPr>
                <w:rFonts w:ascii="Times New Roman"/>
                <w:b w:val="false"/>
                <w:i w:val="false"/>
                <w:color w:val="000000"/>
                <w:vertAlign w:val="superscript"/>
              </w:rPr>
              <w:t>2</w:t>
            </w:r>
            <w:r>
              <w:rPr>
                <w:rFonts w:ascii="Times New Roman"/>
                <w:b w:val="false"/>
                <w:i w:val="false"/>
                <w:color w:val="000000"/>
                <w:sz w:val="20"/>
              </w:rPr>
              <w:t xml:space="preserve"> торг. площ.</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Торговые центры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Восточный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r>
              <w:rPr>
                <w:rFonts w:ascii="Times New Roman"/>
                <w:b w:val="false"/>
                <w:i w:val="false"/>
                <w:color w:val="000000"/>
                <w:vertAlign w:val="superscript"/>
              </w:rPr>
              <w:t>2</w:t>
            </w:r>
            <w:r>
              <w:rPr>
                <w:rFonts w:ascii="Times New Roman"/>
                <w:b w:val="false"/>
                <w:i w:val="false"/>
                <w:color w:val="000000"/>
                <w:sz w:val="20"/>
              </w:rPr>
              <w:t xml:space="preserve"> торг. площ.</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Гостиницы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Илекский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Гостиницы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Западный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Гостиницы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Центральный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Гостиницы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Каргалинский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Гостиницы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Восточный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r>
      <w:tr>
        <w:trPr>
          <w:trHeight w:val="36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4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Дом траурных обрядов</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Западный планировочный район</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p>
      <w:pPr>
        <w:spacing w:after="0"/>
        <w:ind w:left="0"/>
        <w:jc w:val="both"/>
      </w:pPr>
      <w:r>
        <w:rPr>
          <w:rFonts w:ascii="Times New Roman"/>
          <w:b w:val="false"/>
          <w:i w:val="false"/>
          <w:color w:val="000000"/>
          <w:sz w:val="28"/>
        </w:rPr>
        <w:t>      Укрупненные расчетные стоимости строительства объектов гражданского назначения на проектируемой территории определены в соответствии с СН РК 8.02–01-2002* «Порядок определения расчетной стоимости строительства на стадии технико-экономического обоснования» с учетом регионального коэффициента стоимости строительства для Актюбинской области 0,89, коэффициента перехода с цен 2001 года на цены 2015 года – 2,557 и НДС 12 %.</w:t>
      </w:r>
      <w:r>
        <w:br/>
      </w:r>
      <w:r>
        <w:rPr>
          <w:rFonts w:ascii="Times New Roman"/>
          <w:b w:val="false"/>
          <w:i w:val="false"/>
          <w:color w:val="000000"/>
          <w:sz w:val="28"/>
        </w:rPr>
        <w:t>
      Строительство доступного жилья предполагается осуществлять за счет государственных средств с последующим его выкупом населением посредством ипотечного кредитования или за счет кредитов жилищных сберегательных банков.</w:t>
      </w:r>
      <w:r>
        <w:br/>
      </w:r>
      <w:r>
        <w:rPr>
          <w:rFonts w:ascii="Times New Roman"/>
          <w:b w:val="false"/>
          <w:i w:val="false"/>
          <w:color w:val="000000"/>
          <w:sz w:val="28"/>
        </w:rPr>
        <w:t>
      Для реализации проектных предложений, предусмотренных в проекте, необходимо (наряду с потенциальными инвесторами) долевое участие государства и местных исполнительных органов в строительстве объектов здравоохранения, культуры и спорта, объектов инженерно-транспортной инфраструктуры.</w:t>
      </w:r>
      <w:r>
        <w:br/>
      </w:r>
      <w:r>
        <w:rPr>
          <w:rFonts w:ascii="Times New Roman"/>
          <w:b w:val="false"/>
          <w:i w:val="false"/>
          <w:color w:val="000000"/>
          <w:sz w:val="28"/>
        </w:rPr>
        <w:t>
      На реализацию проектных предложений жилищного строительства потребуется порядка 225 млрд. тенге, исходя из стоимости 100 000 тенге за 1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Расчетная стоимость ремонтно-реконструктивных мероприятий на первую очередь ориентировочно составит 12 млрд. тенге.</w:t>
      </w:r>
      <w:r>
        <w:br/>
      </w:r>
      <w:r>
        <w:rPr>
          <w:rFonts w:ascii="Times New Roman"/>
          <w:b w:val="false"/>
          <w:i w:val="false"/>
          <w:color w:val="000000"/>
          <w:sz w:val="28"/>
        </w:rPr>
        <w:t>
      Ориентировочная стоимость объемов нового строительства объектов социальной сферы в ценах 2015 года за период 2015 – 2020 годы, при условии достижения нормативных показателей обеспеченности учреждениями местного и городского уровня к 2020 году, определена объемом в 123,8 млрд. тенге.</w:t>
      </w:r>
      <w:r>
        <w:br/>
      </w:r>
      <w:r>
        <w:rPr>
          <w:rFonts w:ascii="Times New Roman"/>
          <w:b w:val="false"/>
          <w:i w:val="false"/>
          <w:color w:val="000000"/>
          <w:sz w:val="28"/>
        </w:rPr>
        <w:t>
      На формирование инженерного оборудования территории и строительство инженерных сетей необходимо 146,5 млрд. тенге.</w:t>
      </w:r>
      <w:r>
        <w:br/>
      </w:r>
      <w:r>
        <w:rPr>
          <w:rFonts w:ascii="Times New Roman"/>
          <w:b w:val="false"/>
          <w:i w:val="false"/>
          <w:color w:val="000000"/>
          <w:sz w:val="28"/>
        </w:rPr>
        <w:t>
      Ориентировочная стоимость строительства водопроводных и канализационных сетей на территории города составит 124,0 млрд. тенге.</w:t>
      </w:r>
      <w:r>
        <w:br/>
      </w:r>
      <w:r>
        <w:rPr>
          <w:rFonts w:ascii="Times New Roman"/>
          <w:b w:val="false"/>
          <w:i w:val="false"/>
          <w:color w:val="000000"/>
          <w:sz w:val="28"/>
        </w:rPr>
        <w:t>
      Ориентировочные объемы капитальных вложений в формирование системы электроснабжения приняты по укрупненным показателям с учетом индексов цен, проектов-аналогов и прайс-листов заводов-изготовителей. Ориентировочный объем инвестиций предусматривается в размере 12,0 млрд. тенге.</w:t>
      </w:r>
      <w:r>
        <w:br/>
      </w:r>
      <w:r>
        <w:rPr>
          <w:rFonts w:ascii="Times New Roman"/>
          <w:b w:val="false"/>
          <w:i w:val="false"/>
          <w:color w:val="000000"/>
          <w:sz w:val="28"/>
        </w:rPr>
        <w:t>
      Капитальные вложения в создание системы централизованного тепло- и газоснабжения проектируемой территории ориентировочно составят сумму порядка 10,5 млрд. тенге.</w:t>
      </w:r>
      <w:r>
        <w:br/>
      </w:r>
      <w:r>
        <w:rPr>
          <w:rFonts w:ascii="Times New Roman"/>
          <w:b w:val="false"/>
          <w:i w:val="false"/>
          <w:color w:val="000000"/>
          <w:sz w:val="28"/>
        </w:rPr>
        <w:t>
      На реализацию проектных предложений на все виды строительства потребуется порядка 690,1 млрд. тенге.</w:t>
      </w:r>
    </w:p>
    <w:bookmarkStart w:name="z15" w:id="11"/>
    <w:p>
      <w:pPr>
        <w:spacing w:after="0"/>
        <w:ind w:left="0"/>
        <w:jc w:val="both"/>
      </w:pPr>
      <w:r>
        <w:rPr>
          <w:rFonts w:ascii="Times New Roman"/>
          <w:b w:val="false"/>
          <w:i w:val="false"/>
          <w:color w:val="000000"/>
          <w:sz w:val="28"/>
        </w:rPr>
        <w:t>
4. Экономическая деятельность</w:t>
      </w:r>
    </w:p>
    <w:bookmarkEnd w:id="11"/>
    <w:p>
      <w:pPr>
        <w:spacing w:after="0"/>
        <w:ind w:left="0"/>
        <w:jc w:val="both"/>
      </w:pPr>
      <w:r>
        <w:rPr>
          <w:rFonts w:ascii="Times New Roman"/>
          <w:b w:val="false"/>
          <w:i w:val="false"/>
          <w:color w:val="000000"/>
          <w:sz w:val="28"/>
        </w:rPr>
        <w:t xml:space="preserve">      В 2016 году планируется приступить к строительству электросталеплавильного комплекса мощностью 533 тыс. тонн в год, а также организовать новое производство стрелочных переводов. Планируется строительство электростанции мощностью 150 МВт. </w:t>
      </w:r>
      <w:r>
        <w:br/>
      </w:r>
      <w:r>
        <w:rPr>
          <w:rFonts w:ascii="Times New Roman"/>
          <w:b w:val="false"/>
          <w:i w:val="false"/>
          <w:color w:val="000000"/>
          <w:sz w:val="28"/>
        </w:rPr>
        <w:t xml:space="preserve">
      Во второй пятилетке Карты индустриализации предусматривается реализовать 20 инвестиционных проектов на общую сумму 247 млрд. тенге, что вызовет рост объема промышленной продукции в 1,4 раза, а обрабатывающего сектора в 1,5 раза (всего Государственной программой индустриально-инновационного развития Республики Казахстан по Актюбинскому региону включено 36 проектов на сумму 613,7 млрд. тенге с созданием 11261 новых рабочих мест). На территории индустриальной зоны будут размещены около 10 крупных и средних заводов и более 30 малых предприятий и созданы более тысячи новых рабочих мест. </w:t>
      </w:r>
      <w:r>
        <w:br/>
      </w:r>
      <w:r>
        <w:rPr>
          <w:rFonts w:ascii="Times New Roman"/>
          <w:b w:val="false"/>
          <w:i w:val="false"/>
          <w:color w:val="000000"/>
          <w:sz w:val="28"/>
        </w:rPr>
        <w:t xml:space="preserve">
      В перспективе планируется строительство конвертерного цеха, мощностью 65 тыс. тонн среднеуглеродистого феррохрома в год и утилизационной электростанции на отходящих газах ферросплавного производства, мощностью 46 МВт. </w:t>
      </w:r>
      <w:r>
        <w:br/>
      </w:r>
      <w:r>
        <w:rPr>
          <w:rFonts w:ascii="Times New Roman"/>
          <w:b w:val="false"/>
          <w:i w:val="false"/>
          <w:color w:val="000000"/>
          <w:sz w:val="28"/>
        </w:rPr>
        <w:t>
      Актюбинская агломерация с центром в городе Актобе будет развиваться как металлургический кластер и транспортно-логистический центр региона, центр переработки химической промышленности и строительной индустрии.</w:t>
      </w:r>
      <w:r>
        <w:br/>
      </w:r>
      <w:r>
        <w:rPr>
          <w:rFonts w:ascii="Times New Roman"/>
          <w:b w:val="false"/>
          <w:i w:val="false"/>
          <w:color w:val="000000"/>
          <w:sz w:val="28"/>
        </w:rPr>
        <w:t>
      Наибольший рост будут демонстрировать нефтяная, горнодобывающая, металлургическая и энергетическая отрасли.</w:t>
      </w:r>
    </w:p>
    <w:bookmarkStart w:name="z16" w:id="12"/>
    <w:p>
      <w:pPr>
        <w:spacing w:after="0"/>
        <w:ind w:left="0"/>
        <w:jc w:val="both"/>
      </w:pPr>
      <w:r>
        <w:rPr>
          <w:rFonts w:ascii="Times New Roman"/>
          <w:b w:val="false"/>
          <w:i w:val="false"/>
          <w:color w:val="000000"/>
          <w:sz w:val="28"/>
        </w:rPr>
        <w:t>
5. Промышленность</w:t>
      </w:r>
    </w:p>
    <w:bookmarkEnd w:id="12"/>
    <w:p>
      <w:pPr>
        <w:spacing w:after="0"/>
        <w:ind w:left="0"/>
        <w:jc w:val="both"/>
      </w:pPr>
      <w:r>
        <w:rPr>
          <w:rFonts w:ascii="Times New Roman"/>
          <w:b w:val="false"/>
          <w:i w:val="false"/>
          <w:color w:val="000000"/>
          <w:sz w:val="28"/>
        </w:rPr>
        <w:t xml:space="preserve">      На начало 2015 года производством продукции в городе Актобе были заняты 322 предприятия, из них основной удельный вес (77,0 %) приходится на обрабатывающую отрасль. </w:t>
      </w:r>
      <w:r>
        <w:br/>
      </w:r>
      <w:r>
        <w:rPr>
          <w:rFonts w:ascii="Times New Roman"/>
          <w:b w:val="false"/>
          <w:i w:val="false"/>
          <w:color w:val="000000"/>
          <w:sz w:val="28"/>
        </w:rPr>
        <w:t>
      Крупнейшие гиганты промышленной индустрии:</w:t>
      </w:r>
      <w:r>
        <w:br/>
      </w:r>
      <w:r>
        <w:rPr>
          <w:rFonts w:ascii="Times New Roman"/>
          <w:b w:val="false"/>
          <w:i w:val="false"/>
          <w:color w:val="000000"/>
          <w:sz w:val="28"/>
        </w:rPr>
        <w:t>
      1) акционерное общество «СНПС-Актобемунайгаз» (наибольший объем добываемой в области нефти – 73 %);</w:t>
      </w:r>
      <w:r>
        <w:br/>
      </w:r>
      <w:r>
        <w:rPr>
          <w:rFonts w:ascii="Times New Roman"/>
          <w:b w:val="false"/>
          <w:i w:val="false"/>
          <w:color w:val="000000"/>
          <w:sz w:val="28"/>
        </w:rPr>
        <w:t>
      2) акционерное общество «Актюбинский завод хромовых соединений» (АО «АЗХС»);</w:t>
      </w:r>
      <w:r>
        <w:br/>
      </w:r>
      <w:r>
        <w:rPr>
          <w:rFonts w:ascii="Times New Roman"/>
          <w:b w:val="false"/>
          <w:i w:val="false"/>
          <w:color w:val="000000"/>
          <w:sz w:val="28"/>
        </w:rPr>
        <w:t>
      3) Актюбинский завод ферросплавов (в том числе цех № 4);</w:t>
      </w:r>
      <w:r>
        <w:br/>
      </w:r>
      <w:r>
        <w:rPr>
          <w:rFonts w:ascii="Times New Roman"/>
          <w:b w:val="false"/>
          <w:i w:val="false"/>
          <w:color w:val="000000"/>
          <w:sz w:val="28"/>
        </w:rPr>
        <w:t>
      4) акционерное общество «ТНК-Казхром»;</w:t>
      </w:r>
      <w:r>
        <w:br/>
      </w:r>
      <w:r>
        <w:rPr>
          <w:rFonts w:ascii="Times New Roman"/>
          <w:b w:val="false"/>
          <w:i w:val="false"/>
          <w:color w:val="000000"/>
          <w:sz w:val="28"/>
        </w:rPr>
        <w:t>
      5) товарищество с ограниченной ответственностью «Актюбинский рельсобалочный завод»;</w:t>
      </w:r>
      <w:r>
        <w:br/>
      </w:r>
      <w:r>
        <w:rPr>
          <w:rFonts w:ascii="Times New Roman"/>
          <w:b w:val="false"/>
          <w:i w:val="false"/>
          <w:color w:val="000000"/>
          <w:sz w:val="28"/>
        </w:rPr>
        <w:t xml:space="preserve">
      6) акционерное общество «Актюбрентген» и др. </w:t>
      </w:r>
      <w:r>
        <w:br/>
      </w:r>
      <w:r>
        <w:rPr>
          <w:rFonts w:ascii="Times New Roman"/>
          <w:b w:val="false"/>
          <w:i w:val="false"/>
          <w:color w:val="000000"/>
          <w:sz w:val="28"/>
        </w:rPr>
        <w:t>
      В городе работают крупные предприятия пищевой промышленности:</w:t>
      </w:r>
      <w:r>
        <w:br/>
      </w:r>
      <w:r>
        <w:rPr>
          <w:rFonts w:ascii="Times New Roman"/>
          <w:b w:val="false"/>
          <w:i w:val="false"/>
          <w:color w:val="000000"/>
          <w:sz w:val="28"/>
        </w:rPr>
        <w:t>
      1) товарищество с ограниченной ответственностью «Геом»;</w:t>
      </w:r>
      <w:r>
        <w:br/>
      </w:r>
      <w:r>
        <w:rPr>
          <w:rFonts w:ascii="Times New Roman"/>
          <w:b w:val="false"/>
          <w:i w:val="false"/>
          <w:color w:val="000000"/>
          <w:sz w:val="28"/>
        </w:rPr>
        <w:t>
      2) товарищество с ограниченной ответственностью «Рамазан»;</w:t>
      </w:r>
      <w:r>
        <w:br/>
      </w:r>
      <w:r>
        <w:rPr>
          <w:rFonts w:ascii="Times New Roman"/>
          <w:b w:val="false"/>
          <w:i w:val="false"/>
          <w:color w:val="000000"/>
          <w:sz w:val="28"/>
        </w:rPr>
        <w:t>
      3) товарищество с ограниченной ответственностью «Савола Ф.С.».</w:t>
      </w:r>
      <w:r>
        <w:br/>
      </w:r>
      <w:r>
        <w:rPr>
          <w:rFonts w:ascii="Times New Roman"/>
          <w:b w:val="false"/>
          <w:i w:val="false"/>
          <w:color w:val="000000"/>
          <w:sz w:val="28"/>
        </w:rPr>
        <w:t>
      Значительную долю в промышленном потенциале города занимают предприятия строительной индустрии:</w:t>
      </w:r>
      <w:r>
        <w:br/>
      </w:r>
      <w:r>
        <w:rPr>
          <w:rFonts w:ascii="Times New Roman"/>
          <w:b w:val="false"/>
          <w:i w:val="false"/>
          <w:color w:val="000000"/>
          <w:sz w:val="28"/>
        </w:rPr>
        <w:t>
      1) завод «ЖБИ-25»;</w:t>
      </w:r>
      <w:r>
        <w:br/>
      </w:r>
      <w:r>
        <w:rPr>
          <w:rFonts w:ascii="Times New Roman"/>
          <w:b w:val="false"/>
          <w:i w:val="false"/>
          <w:color w:val="000000"/>
          <w:sz w:val="28"/>
        </w:rPr>
        <w:t>
      2) товарищество с ограниченной ответственностью «Стройдеталь»;</w:t>
      </w:r>
      <w:r>
        <w:br/>
      </w:r>
      <w:r>
        <w:rPr>
          <w:rFonts w:ascii="Times New Roman"/>
          <w:b w:val="false"/>
          <w:i w:val="false"/>
          <w:color w:val="000000"/>
          <w:sz w:val="28"/>
        </w:rPr>
        <w:t xml:space="preserve">
      3) товарищество с ограниченной ответственностью «Актюбинский завод металлоконструкций» и др. </w:t>
      </w:r>
      <w:r>
        <w:br/>
      </w:r>
      <w:r>
        <w:rPr>
          <w:rFonts w:ascii="Times New Roman"/>
          <w:b w:val="false"/>
          <w:i w:val="false"/>
          <w:color w:val="000000"/>
          <w:sz w:val="28"/>
        </w:rPr>
        <w:t>
      В 2014 году промышленными предприятиями произведено продукции на 257908 млн. тенге (индекс физического объема составил 97,1 %). Доля промышленной продукции в общем объеме области составила 20,7 %.</w:t>
      </w:r>
    </w:p>
    <w:bookmarkStart w:name="z17" w:id="13"/>
    <w:p>
      <w:pPr>
        <w:spacing w:after="0"/>
        <w:ind w:left="0"/>
        <w:jc w:val="left"/>
      </w:pPr>
      <w:r>
        <w:rPr>
          <w:rFonts w:ascii="Times New Roman"/>
          <w:b/>
          <w:i w:val="false"/>
          <w:color w:val="000000"/>
        </w:rPr>
        <w:t xml:space="preserve"> 
5. Градостроительное развитие</w:t>
      </w:r>
    </w:p>
    <w:bookmarkEnd w:id="13"/>
    <w:bookmarkStart w:name="z18" w:id="14"/>
    <w:p>
      <w:pPr>
        <w:spacing w:after="0"/>
        <w:ind w:left="0"/>
        <w:jc w:val="both"/>
      </w:pPr>
      <w:r>
        <w:rPr>
          <w:rFonts w:ascii="Times New Roman"/>
          <w:b w:val="false"/>
          <w:i w:val="false"/>
          <w:color w:val="000000"/>
          <w:sz w:val="28"/>
        </w:rPr>
        <w:t>
1. Архитектурно-планировочная организация территории</w:t>
      </w:r>
    </w:p>
    <w:bookmarkEnd w:id="14"/>
    <w:p>
      <w:pPr>
        <w:spacing w:after="0"/>
        <w:ind w:left="0"/>
        <w:jc w:val="both"/>
      </w:pPr>
      <w:r>
        <w:rPr>
          <w:rFonts w:ascii="Times New Roman"/>
          <w:b w:val="false"/>
          <w:i w:val="false"/>
          <w:color w:val="000000"/>
          <w:sz w:val="28"/>
        </w:rPr>
        <w:t>      Главная цель градостроительного развития города Актобе – это устойчивое развитие города, обеспечивающее создание комфортной и эстетически привлекательной среды обитания, улучшение качества жизни населения.</w:t>
      </w:r>
      <w:r>
        <w:br/>
      </w:r>
      <w:r>
        <w:rPr>
          <w:rFonts w:ascii="Times New Roman"/>
          <w:b w:val="false"/>
          <w:i w:val="false"/>
          <w:color w:val="000000"/>
          <w:sz w:val="28"/>
        </w:rPr>
        <w:t>
      Основными задачами являются определение перспектив социально-экономического и градостроительного развития города, взаимоувязанного решения всех его подсистем архитектурно- планировочной структуры, развития жилой и производственной среды, культурно-бытового обслуживания, транспорта и инженерного обеспечения, благоустройства с резервированием территории для развития города за пределами расчетного срока.</w:t>
      </w:r>
      <w:r>
        <w:br/>
      </w:r>
      <w:r>
        <w:rPr>
          <w:rFonts w:ascii="Times New Roman"/>
          <w:b w:val="false"/>
          <w:i w:val="false"/>
          <w:color w:val="000000"/>
          <w:sz w:val="28"/>
        </w:rPr>
        <w:t>
      Сложившаяся функционально-планировочная структура города с выраженным промышленно-транспортным поясом, разрезающим город с северо-запада на юго-восток и сопровождающимся зонами вредного воздействия предприятий, шумовая полоса взлетно-посадочной полосы аэропорта, природно-ландшафтная ситуация с долинами рек Илек, Каргалы, Сазда, определяют ограниченные возможности для развития селитебных территорий. Это Уральско-обдинское направление с уже развивающимися районами Батыс, Юго- Запад, Жанаконыс и Орско-Хромтауское направление с поселками Заречный, Каргалы, Рауан, районом многоэтажного жилищного строительства Нур-Актобе.</w:t>
      </w:r>
      <w:r>
        <w:br/>
      </w:r>
      <w:r>
        <w:rPr>
          <w:rFonts w:ascii="Times New Roman"/>
          <w:b w:val="false"/>
          <w:i w:val="false"/>
          <w:color w:val="000000"/>
          <w:sz w:val="28"/>
        </w:rPr>
        <w:t xml:space="preserve">
      Предусматривается значительный территориальный рост с учетом строительства международного транспортного коридора «Западная Европа - Западный Китай». В границах генерального плана 2003 года площадь города составляла 42846,9 га. Перспективная территория собственно города к расчетному сроку вырастет до 71248,4 га. Она рассматривается в границах Северного обхода и его логического кольцевого продолжения в южной и юго-западной частях, охватывая сложившиеся и перспективные зоны селитебных и производственных территорий города Актобе. </w:t>
      </w:r>
      <w:r>
        <w:br/>
      </w:r>
      <w:r>
        <w:rPr>
          <w:rFonts w:ascii="Times New Roman"/>
          <w:b w:val="false"/>
          <w:i w:val="false"/>
          <w:color w:val="000000"/>
          <w:sz w:val="28"/>
        </w:rPr>
        <w:t xml:space="preserve">
      Строительное зонирование, принятое в Генеральном плане, ориентировано преимущественно на многоэтажную застройку многоквартирными жилыми домами. Индивидуальное жилищное строительство в черте города строго ограничено. Для него предусмотрены территории в пригородной зоне. </w:t>
      </w:r>
      <w:r>
        <w:br/>
      </w:r>
      <w:r>
        <w:rPr>
          <w:rFonts w:ascii="Times New Roman"/>
          <w:b w:val="false"/>
          <w:i w:val="false"/>
          <w:color w:val="000000"/>
          <w:sz w:val="28"/>
        </w:rPr>
        <w:t>
      Функционально-планировочная структура города, принятая в Генеральном плане, представляет систему направленных от центра к периферии градостроительных образований, функционально-планировочных зон:</w:t>
      </w:r>
      <w:r>
        <w:br/>
      </w:r>
      <w:r>
        <w:rPr>
          <w:rFonts w:ascii="Times New Roman"/>
          <w:b w:val="false"/>
          <w:i w:val="false"/>
          <w:color w:val="000000"/>
          <w:sz w:val="28"/>
        </w:rPr>
        <w:t>
      1) селитебных, развивающихся с юго-запада на северо-восток в Уральско-Хобдинском направлении с так называемым Западным планировочным районом с жилыми районами Батыс, Юго-Запад, Жанаконыс, в Орско-Хромтауском направлении – Каргалинским планировочным районом с жилыми районами Заречный, Каргалы, Рауан, Восточный с жилыми районами Нур-Актобе, Кызылжар;</w:t>
      </w:r>
      <w:r>
        <w:br/>
      </w:r>
      <w:r>
        <w:rPr>
          <w:rFonts w:ascii="Times New Roman"/>
          <w:b w:val="false"/>
          <w:i w:val="false"/>
          <w:color w:val="000000"/>
          <w:sz w:val="28"/>
        </w:rPr>
        <w:t>
      2) промышленных, транспортно-коммунальных зон с северо-запада на юго-восток;</w:t>
      </w:r>
      <w:r>
        <w:br/>
      </w:r>
      <w:r>
        <w:rPr>
          <w:rFonts w:ascii="Times New Roman"/>
          <w:b w:val="false"/>
          <w:i w:val="false"/>
          <w:color w:val="000000"/>
          <w:sz w:val="28"/>
        </w:rPr>
        <w:t xml:space="preserve">
      3) ландшафтных зон, формирующих систему преимущественно открытых пространств (буферных сред), включающих ландшафтно-рекреационные зоны (Каргалинская и Саздинская), ландшафтно-реабилитационные зоны (Илекская, Северо-Западная и Тамдинская), агропарки (Каргалинский и Илекский). </w:t>
      </w:r>
      <w:r>
        <w:br/>
      </w:r>
      <w:r>
        <w:rPr>
          <w:rFonts w:ascii="Times New Roman"/>
          <w:b w:val="false"/>
          <w:i w:val="false"/>
          <w:color w:val="000000"/>
          <w:sz w:val="28"/>
        </w:rPr>
        <w:t>
      Важнейшим мероприятием, обеспечивающим благоприятные условия проживания, является поворот взлетно-посадочной полосы, который будет осуществлен до 2020 года. На перспективу в целях безопасности и развития международного аэропорта до современного уровня предусматривается его вынос за пределы городской черты.</w:t>
      </w:r>
      <w:r>
        <w:br/>
      </w:r>
      <w:r>
        <w:rPr>
          <w:rFonts w:ascii="Times New Roman"/>
          <w:b w:val="false"/>
          <w:i w:val="false"/>
          <w:color w:val="000000"/>
          <w:sz w:val="28"/>
        </w:rPr>
        <w:t>
      </w:t>
      </w:r>
      <w:r>
        <w:rPr>
          <w:rFonts w:ascii="Times New Roman"/>
          <w:b w:val="false"/>
          <w:i/>
          <w:color w:val="000000"/>
          <w:sz w:val="28"/>
        </w:rPr>
        <w:t>Селитебные территории.</w:t>
      </w:r>
      <w:r>
        <w:br/>
      </w:r>
      <w:r>
        <w:rPr>
          <w:rFonts w:ascii="Times New Roman"/>
          <w:b w:val="false"/>
          <w:i w:val="false"/>
          <w:color w:val="000000"/>
          <w:sz w:val="28"/>
        </w:rPr>
        <w:t>
      В развитии жилой застройки преимущественным типом на новых территориях принимается многоквартирный средне- и многоэтажный жилой дом. Повышение этажности предусматривается вдоль главных магистралей и набережных реки Илек, а также зоны общественных центров.</w:t>
      </w:r>
      <w:r>
        <w:br/>
      </w:r>
      <w:r>
        <w:rPr>
          <w:rFonts w:ascii="Times New Roman"/>
          <w:b w:val="false"/>
          <w:i w:val="false"/>
          <w:color w:val="000000"/>
          <w:sz w:val="28"/>
        </w:rPr>
        <w:t>
      Основной планировочной единицей является жилой район. Их насчитывается 21. Они объединены в пять планировочных районов: Илекский, Центральный, Западный, Каргалинский и Восточный. Планировочные и жилые районы обеспечиваются системой обслуживания в соответствии с нормативными требованиями.</w:t>
      </w:r>
      <w:r>
        <w:br/>
      </w:r>
      <w:r>
        <w:rPr>
          <w:rFonts w:ascii="Times New Roman"/>
          <w:b w:val="false"/>
          <w:i w:val="false"/>
          <w:color w:val="000000"/>
          <w:sz w:val="28"/>
        </w:rPr>
        <w:t xml:space="preserve">
      Развитие сельских населенных пунктов в составе ландшафтно-рекреационных зон и агропарков строго регламентировано. </w:t>
      </w:r>
      <w:r>
        <w:br/>
      </w:r>
      <w:r>
        <w:rPr>
          <w:rFonts w:ascii="Times New Roman"/>
          <w:b w:val="false"/>
          <w:i w:val="false"/>
          <w:color w:val="000000"/>
          <w:sz w:val="28"/>
        </w:rPr>
        <w:t>
      Наряду с территориальным развитием города важной составляющей являются процессы реконструкции. Проектом предусматривается повышение плотности застройки за счет реконструкции зон малоэтажной застройки в Старом городе, районе Курмыша, вдоль набережных реки Илек.</w:t>
      </w:r>
      <w:r>
        <w:br/>
      </w:r>
      <w:r>
        <w:rPr>
          <w:rFonts w:ascii="Times New Roman"/>
          <w:b w:val="false"/>
          <w:i w:val="false"/>
          <w:color w:val="000000"/>
          <w:sz w:val="28"/>
        </w:rPr>
        <w:t>
      В развитии системы городских общественных центров основной задачей является преодоление исторически сложившейся двухцентренности в развитии общегородского центра Актобе. Предусматривается перенос привокзальной площади по другую, южную сторону железнодорожной магистрали и создание здесь многофункционального общественно-транспортного центра «Москва-СИТИ», который станет мостом-связкой между городскими центрами в старом и новом городе. Развитая сервисная инфраструктура (торговля, развлекательные учреждения, общественное питание, спортивные и культурно-развлекательные учреждения) в сочетании с многоэтажным комплексом гостиниц, офисов, арендного жилья сформируют крупнейший предпринимательский центр.</w:t>
      </w:r>
      <w:r>
        <w:br/>
      </w:r>
      <w:r>
        <w:rPr>
          <w:rFonts w:ascii="Times New Roman"/>
          <w:b w:val="false"/>
          <w:i w:val="false"/>
          <w:color w:val="000000"/>
          <w:sz w:val="28"/>
        </w:rPr>
        <w:t>
      Развитие научной и образовательной деятельности приведет к «вытеснению» из центрального города ряда образовательных и научных комплексов и формированию специализированных центров городского значения:</w:t>
      </w:r>
      <w:r>
        <w:br/>
      </w:r>
      <w:r>
        <w:rPr>
          <w:rFonts w:ascii="Times New Roman"/>
          <w:b w:val="false"/>
          <w:i w:val="false"/>
          <w:color w:val="000000"/>
          <w:sz w:val="28"/>
        </w:rPr>
        <w:t xml:space="preserve">
      1) зона технологического парка (технопарка) «Альжан» на южной периферии города; </w:t>
      </w:r>
      <w:r>
        <w:br/>
      </w:r>
      <w:r>
        <w:rPr>
          <w:rFonts w:ascii="Times New Roman"/>
          <w:b w:val="false"/>
          <w:i w:val="false"/>
          <w:color w:val="000000"/>
          <w:sz w:val="28"/>
        </w:rPr>
        <w:t xml:space="preserve">
      2) молодежный учебно-спортивный центр «Жас Канат» в междуречье рек Илек и Жаксы Каргалы; </w:t>
      </w:r>
      <w:r>
        <w:br/>
      </w:r>
      <w:r>
        <w:rPr>
          <w:rFonts w:ascii="Times New Roman"/>
          <w:b w:val="false"/>
          <w:i w:val="false"/>
          <w:color w:val="000000"/>
          <w:sz w:val="28"/>
        </w:rPr>
        <w:t xml:space="preserve">
      3) медицинский центр «Жинишке» к западу от жилого района Жанаконыс. </w:t>
      </w:r>
      <w:r>
        <w:br/>
      </w:r>
      <w:r>
        <w:rPr>
          <w:rFonts w:ascii="Times New Roman"/>
          <w:b w:val="false"/>
          <w:i w:val="false"/>
          <w:color w:val="000000"/>
          <w:sz w:val="28"/>
        </w:rPr>
        <w:t>
      Значительный потенциал для развития системы специализированных центров (рекреационно-спортивных, лечебно-оздоровительных) составляют долины рек Илек, Каргалы, Сазды. К ним относятся:</w:t>
      </w:r>
      <w:r>
        <w:br/>
      </w:r>
      <w:r>
        <w:rPr>
          <w:rFonts w:ascii="Times New Roman"/>
          <w:b w:val="false"/>
          <w:i w:val="false"/>
          <w:color w:val="000000"/>
          <w:sz w:val="28"/>
        </w:rPr>
        <w:t xml:space="preserve">
      1) зоны отдыха на берегу Актюбинского водохранилища и Саздинского водохранилища; </w:t>
      </w:r>
      <w:r>
        <w:br/>
      </w:r>
      <w:r>
        <w:rPr>
          <w:rFonts w:ascii="Times New Roman"/>
          <w:b w:val="false"/>
          <w:i w:val="false"/>
          <w:color w:val="000000"/>
          <w:sz w:val="28"/>
        </w:rPr>
        <w:t xml:space="preserve">
      2) этнографический парк в районе села Пригородное; </w:t>
      </w:r>
      <w:r>
        <w:br/>
      </w:r>
      <w:r>
        <w:rPr>
          <w:rFonts w:ascii="Times New Roman"/>
          <w:b w:val="false"/>
          <w:i w:val="false"/>
          <w:color w:val="000000"/>
          <w:sz w:val="28"/>
        </w:rPr>
        <w:t xml:space="preserve">
      3) многопрофильный спортивный комплекс «Жарыс» вдоль водно-зеленого диаметра в пойме реки Сазда у пересечения двух важных транспортных артерий проспекта А. Молдагуловой - Нокина и 312 Стрелковой дивизии. </w:t>
      </w:r>
      <w:r>
        <w:br/>
      </w:r>
      <w:r>
        <w:rPr>
          <w:rFonts w:ascii="Times New Roman"/>
          <w:b w:val="false"/>
          <w:i w:val="false"/>
          <w:color w:val="000000"/>
          <w:sz w:val="28"/>
        </w:rPr>
        <w:t>
      На южной окраине города в составе транспортно-логистического центра предусмотрен крупный комплекс рынков регионального значения: универсальный рынок, автомобильный рынок, рынок строительных материалов, а также оптовый рынок.</w:t>
      </w:r>
      <w:r>
        <w:br/>
      </w:r>
      <w:r>
        <w:rPr>
          <w:rFonts w:ascii="Times New Roman"/>
          <w:b w:val="false"/>
          <w:i w:val="false"/>
          <w:color w:val="000000"/>
          <w:sz w:val="28"/>
        </w:rPr>
        <w:t>
      Расширяется номенклатура парковых комплексов, это - зоопарк «Жануар», дендропарк, ботанический сад, детский развлекательный парк, выставочно-прогулочный парк для животных, выставочный парк Западно-Казахстанской ярмарки, парк «Прибрежный», гольф-парк, дайвинг-центр, медиа-парк, мемориальный парк.</w:t>
      </w:r>
      <w:r>
        <w:br/>
      </w:r>
      <w:r>
        <w:rPr>
          <w:rFonts w:ascii="Times New Roman"/>
          <w:b w:val="false"/>
          <w:i w:val="false"/>
          <w:color w:val="000000"/>
          <w:sz w:val="28"/>
        </w:rPr>
        <w:t>
      В формировании ландшафтных зон различной направленности должна быть применена дифференцированная шкала регламентов.</w:t>
      </w:r>
      <w:r>
        <w:br/>
      </w:r>
      <w:r>
        <w:rPr>
          <w:rFonts w:ascii="Times New Roman"/>
          <w:b w:val="false"/>
          <w:i w:val="false"/>
          <w:color w:val="000000"/>
          <w:sz w:val="28"/>
        </w:rPr>
        <w:t>
      В развитии ландшафтно-рекреационных зон (Каргалинской и Саздинской) первостепенной задачей являются сохранение природного ландшафта, развитие рекреационных комплексов при ограничении и строгом регламентировании жилой застройки и дачных массивов. Последние должны быть подвергнуты инвентаризации и передаче освободившихся земельных участков для организации рекреационных объектов и территорий. Сохраняется дисперсная структура населенных мест и дачных массивов. Соблюдаются разрывы между населенными пунктами, водоохранные полосы и зоны.</w:t>
      </w:r>
      <w:r>
        <w:br/>
      </w:r>
      <w:r>
        <w:rPr>
          <w:rFonts w:ascii="Times New Roman"/>
          <w:b w:val="false"/>
          <w:i w:val="false"/>
          <w:color w:val="000000"/>
          <w:sz w:val="28"/>
        </w:rPr>
        <w:t>
      Здесь получат развитие и будут поддержаны те инициативы предпринимателей, которые приведут к возрождению, развитию и формированию новых интересных современных форм отдыха, с сохранением экологически комфортной среды.</w:t>
      </w:r>
      <w:r>
        <w:br/>
      </w:r>
      <w:r>
        <w:rPr>
          <w:rFonts w:ascii="Times New Roman"/>
          <w:b w:val="false"/>
          <w:i w:val="false"/>
          <w:color w:val="000000"/>
          <w:sz w:val="28"/>
        </w:rPr>
        <w:t>
      Ландшафтно-реабилитационные зоны (Илекская, Северо-Западная и Тамдинская) формируются в зонах воздействия производственных предприятий и основной задачей их создания является воспроизводство окружающей среды и нарушенных ландшафтов.</w:t>
      </w:r>
      <w:r>
        <w:br/>
      </w:r>
      <w:r>
        <w:rPr>
          <w:rFonts w:ascii="Times New Roman"/>
          <w:b w:val="false"/>
          <w:i w:val="false"/>
          <w:color w:val="000000"/>
          <w:sz w:val="28"/>
        </w:rPr>
        <w:t>
      Формирование агропарков (Каргалинского и Илекского) определяется задачами формирования продуктовой независимости, разработкой новых технологий в сельскохозяйственном производстве. Основой является деятельность акционерного общества «Актюбинская опытная станция», предусматривающая интенсификацию использования территорий опытной станции с преобладанием научно-исследовательских функций, выставочно-просветительной деятельности.</w:t>
      </w:r>
      <w:r>
        <w:br/>
      </w:r>
      <w:r>
        <w:rPr>
          <w:rFonts w:ascii="Times New Roman"/>
          <w:b w:val="false"/>
          <w:i w:val="false"/>
          <w:color w:val="000000"/>
          <w:sz w:val="28"/>
        </w:rPr>
        <w:t>
      Предусматривается преемственное развитие зон промышленных и коммунально-складских территорий. Северо-западная зона развивается вдоль железнодорожной магистрали в сторону Курайлы с формированием Индустриальной зоны. Учитывая значительное воздействие предприятий на состояние окружающей среды, предусматривается создание единой Северо-западной зоны, обеспечивающей реализацию градостроительных мероприятий по реабилитации городской среды в соответствии с вкладом предприятий в ее загрязнение.</w:t>
      </w:r>
      <w:r>
        <w:br/>
      </w:r>
      <w:r>
        <w:rPr>
          <w:rFonts w:ascii="Times New Roman"/>
          <w:b w:val="false"/>
          <w:i w:val="false"/>
          <w:color w:val="000000"/>
          <w:sz w:val="28"/>
        </w:rPr>
        <w:t>
      Развитие Южной транспортно-коммунальной зоны ориентировано на формирование наукоемкого «чистого» производства. Здесь предусматривается создание технопарка с формированием эколого-индустриального парка и научно-производственного центра. Южный промышленный район является местом передислокации предприятий пищевой промышленности с территории жилой застройки.</w:t>
      </w:r>
      <w:r>
        <w:br/>
      </w:r>
      <w:r>
        <w:rPr>
          <w:rFonts w:ascii="Times New Roman"/>
          <w:b w:val="false"/>
          <w:i w:val="false"/>
          <w:color w:val="000000"/>
          <w:sz w:val="28"/>
        </w:rPr>
        <w:t>
      Развитие логистики предусматривается в развитии уже формирующегося Южного логистического центра, ориентированного в большей степени на скоропортящуюся пищевую промышленность, а также создание Северного транспортно-логистического центра, учитывающего выгоды сближения автомобильной трассы международного коридора «Западная Европа - Западный Китай» и железнодорожной магистрали «Оренбург – Ташкент».</w:t>
      </w:r>
      <w:r>
        <w:br/>
      </w:r>
      <w:r>
        <w:rPr>
          <w:rFonts w:ascii="Times New Roman"/>
          <w:b w:val="false"/>
          <w:i w:val="false"/>
          <w:color w:val="000000"/>
          <w:sz w:val="28"/>
        </w:rPr>
        <w:t>
      Основу системы озеленения города Актобе составит зеленый пояс, образуемый городскими лесами и лесопарками государственного учреждения «Актюбинское лесное хозяйство» и два водно-парковых диаметра вдоль пойм основных рек, протекающих по территории города, - реки Илек, Сазда и Каргалы, а также крупные городские парки и бульвары.</w:t>
      </w:r>
      <w:r>
        <w:br/>
      </w:r>
      <w:r>
        <w:rPr>
          <w:rFonts w:ascii="Times New Roman"/>
          <w:b w:val="false"/>
          <w:i w:val="false"/>
          <w:color w:val="000000"/>
          <w:sz w:val="28"/>
        </w:rPr>
        <w:t>
      Актобе рассматривается как центр перспективной Актюбинской агломерации, основанной на единстве производственно-экономической и транспортно-коммуникационной систем. Опорными пунктами являются города Хромтау и Кандыагаш. Сложившиеся производственные и социально-культурные связи получат поддержку в развитии транспортных связей: железнодорожных – между Актобе и Хромтау (новая ветка «Хромтау – Бестамак» с подключением к южному железнодорожному обводу), автомобильных – между Актобе и Алгой, способствуют активизации процессов урбанизации в границах Актюбинской агломерации. В перспективе рассматривается возможность использования электрифицированного пригородно-городского рельсового транспорта.</w:t>
      </w:r>
      <w:r>
        <w:br/>
      </w:r>
      <w:r>
        <w:rPr>
          <w:rFonts w:ascii="Times New Roman"/>
          <w:b w:val="false"/>
          <w:i w:val="false"/>
          <w:color w:val="000000"/>
          <w:sz w:val="28"/>
        </w:rPr>
        <w:t>
      Рассматриваются проблемы развития пригородной зоны, в границы которой включены помимо городской администрации и прилегающие к ней территории Мартукского, Алгинского, Каргалинского и Хромтауского административных районов.</w:t>
      </w:r>
      <w:r>
        <w:br/>
      </w:r>
      <w:r>
        <w:rPr>
          <w:rFonts w:ascii="Times New Roman"/>
          <w:b w:val="false"/>
          <w:i w:val="false"/>
          <w:color w:val="000000"/>
          <w:sz w:val="28"/>
        </w:rPr>
        <w:t>
      Генеральным планом предусматриваются:</w:t>
      </w:r>
      <w:r>
        <w:br/>
      </w:r>
      <w:r>
        <w:rPr>
          <w:rFonts w:ascii="Times New Roman"/>
          <w:b w:val="false"/>
          <w:i w:val="false"/>
          <w:color w:val="000000"/>
          <w:sz w:val="28"/>
        </w:rPr>
        <w:t xml:space="preserve">
      1) развитие зеленого пояса Актобе, развивающего систему сложившихся лесопарковых территорий и решающего проблемы отдыха горожан, а также способствующего оздоровлению городской среды. Формирование зеленого пояса вокруг Актобе будет складываться как из зеленых массивов на территории города вне селитебных районов, так и вокруг Большой Актюбинской кольцевой автодороги; </w:t>
      </w:r>
      <w:r>
        <w:br/>
      </w:r>
      <w:r>
        <w:rPr>
          <w:rFonts w:ascii="Times New Roman"/>
          <w:b w:val="false"/>
          <w:i w:val="false"/>
          <w:color w:val="000000"/>
          <w:sz w:val="28"/>
        </w:rPr>
        <w:t>
      2) создание условий для развития продуктового пояса;</w:t>
      </w:r>
      <w:r>
        <w:br/>
      </w:r>
      <w:r>
        <w:rPr>
          <w:rFonts w:ascii="Times New Roman"/>
          <w:b w:val="false"/>
          <w:i w:val="false"/>
          <w:color w:val="000000"/>
          <w:sz w:val="28"/>
        </w:rPr>
        <w:t>
      3) развитие рекреационных территорий, зон кратковременного и длительного отдыха (зоны отдыха в пойме реки Жаксы Каргалы, Каргалинском и Актюбинском водохранилищах);</w:t>
      </w:r>
      <w:r>
        <w:br/>
      </w:r>
      <w:r>
        <w:rPr>
          <w:rFonts w:ascii="Times New Roman"/>
          <w:b w:val="false"/>
          <w:i w:val="false"/>
          <w:color w:val="000000"/>
          <w:sz w:val="28"/>
        </w:rPr>
        <w:t>
      4) формирование системы региональных общественных центров «на пороге города» (торгово-развлекательные и транспортно-логистические центры) в первом поясе за пределами города вдоль Большой Актюбинской кольцевой автодороги при пересечении кольцевой с автодорогами в Орском, Хромтауском, Алгинском, Уральском направлении, на Родниковку. Центры сочетают сервисное обслуживание транснациональной магистрали «Западная Европа - Западный Китай», торгово-бытовое обслуживание регионального значения и парковые территории, использующие природно-ландшафтные особенности местности. Формирование этих центров расширяет базу предпринимательской деятельности для жителей предместий и решает проблему занятости местного населения и обслуживание периферийных городских и прилегающих сел пригородной зоны;</w:t>
      </w:r>
      <w:r>
        <w:br/>
      </w:r>
      <w:r>
        <w:rPr>
          <w:rFonts w:ascii="Times New Roman"/>
          <w:b w:val="false"/>
          <w:i w:val="false"/>
          <w:color w:val="000000"/>
          <w:sz w:val="28"/>
        </w:rPr>
        <w:t>
      5) формирование зон первоочередной застройки индивидуальной жилой застройки, размещаемых на территориях второго пояса пригородной зоны на расстоянии около 10 км от Большой Актюбинской кольцевой автодороги (в развитие сел Бутак, Шилисай).</w:t>
      </w:r>
    </w:p>
    <w:bookmarkStart w:name="z19" w:id="15"/>
    <w:p>
      <w:pPr>
        <w:spacing w:after="0"/>
        <w:ind w:left="0"/>
        <w:jc w:val="both"/>
      </w:pPr>
      <w:r>
        <w:rPr>
          <w:rFonts w:ascii="Times New Roman"/>
          <w:b w:val="false"/>
          <w:i w:val="false"/>
          <w:color w:val="000000"/>
          <w:sz w:val="28"/>
        </w:rPr>
        <w:t>
2. Градостроительное зонирование</w:t>
      </w:r>
    </w:p>
    <w:bookmarkEnd w:id="15"/>
    <w:p>
      <w:pPr>
        <w:spacing w:after="0"/>
        <w:ind w:left="0"/>
        <w:jc w:val="both"/>
      </w:pPr>
      <w:r>
        <w:rPr>
          <w:rFonts w:ascii="Times New Roman"/>
          <w:b w:val="false"/>
          <w:i w:val="false"/>
          <w:color w:val="000000"/>
          <w:sz w:val="28"/>
        </w:rPr>
        <w:t>      Согласно </w:t>
      </w:r>
      <w:r>
        <w:rPr>
          <w:rFonts w:ascii="Times New Roman"/>
          <w:b w:val="false"/>
          <w:i w:val="false"/>
          <w:color w:val="000000"/>
          <w:sz w:val="28"/>
        </w:rPr>
        <w:t>Земельному кодексу</w:t>
      </w:r>
      <w:r>
        <w:rPr>
          <w:rFonts w:ascii="Times New Roman"/>
          <w:b w:val="false"/>
          <w:i w:val="false"/>
          <w:color w:val="000000"/>
          <w:sz w:val="28"/>
        </w:rPr>
        <w:t xml:space="preserve"> Республики Казахстан от 20 июня 2003 года и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от 16 июля 2001 года «Об архитектурной, градостроительной и строительной деятельности в Республике Казахстан» в Генеральном плане вся территория города подразделяется на функциональные зоны с перечнем функциональных территориальных зон, и в соответствии с предложенной проектом градостроительной политикой разработаны градостроительные регламенты по видам и параметрам разрешенного использования недвижимости с дифференциацией на «основные разрешенные виды использования земельных участков», «сопутствующие основным видам использования недвижимости» и «виды использования недвижимости, которые требуют специального согласования».</w:t>
      </w:r>
    </w:p>
    <w:bookmarkStart w:name="z43" w:id="16"/>
    <w:p>
      <w:pPr>
        <w:spacing w:after="0"/>
        <w:ind w:left="0"/>
        <w:jc w:val="both"/>
      </w:pPr>
      <w:r>
        <w:rPr>
          <w:rFonts w:ascii="Times New Roman"/>
          <w:b w:val="false"/>
          <w:i w:val="false"/>
          <w:color w:val="000000"/>
          <w:sz w:val="28"/>
        </w:rPr>
        <w:t>
                Перечень функциональных территориальных зон</w:t>
      </w:r>
    </w:p>
    <w:bookmarkEnd w:id="16"/>
    <w:p>
      <w:pPr>
        <w:spacing w:after="0"/>
        <w:ind w:left="0"/>
        <w:jc w:val="both"/>
      </w:pPr>
      <w:r>
        <w:rPr>
          <w:rFonts w:ascii="Times New Roman"/>
          <w:b w:val="false"/>
          <w:i w:val="false"/>
          <w:color w:val="000000"/>
          <w:sz w:val="28"/>
        </w:rPr>
        <w:t xml:space="preserve">                                                         Таблица 3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6"/>
        <w:gridCol w:w="12304"/>
      </w:tblGrid>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Типы и виды зон</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ЗОНЫ ДЕЛОВЫХ И ОБСЛУЖИВАЮЩИХ ФУНКЦИЙ</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 - 1</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деловых и коммерческих предприятий в границах исторической части центрального района</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 - 2</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деловых и коммерческих предприятий регионального и городского значения</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 - 3</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обслуживания населения районного значения</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 - 4с</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специализированного коммерческого использования объектов спортивно-зрелищного назначения</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 -4от</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специализированного коммерческого использования объектов общественно-транспортного назначения</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 - 4т</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специализированного коммерческого использования торгового назначения</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 - 5м</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специализированного некоммерческого использования объектов медицинского назначения</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 - 5н</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специализированного некоммерческого использования объектов учебного и научного назначения</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 - 5к</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специализированного некоммерческого использования объектов, связанных с отправлением культа</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ЖИЛЫЕ ЗОНЫ</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Ж-1</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малоэтажной застройки индивидуальными домами</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Ж-1и</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малоэтажной застройки индивидуальными домами в исторической части города</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Ж-2</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малоэтажной смешанной жилой застройки</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Ж-3</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среднеэтажной жилой застройки 3-6 этажей</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Ж-4</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многоэтажной жилой застройки 5-16 этажей</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Ж-5</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планируемого жилья, резервные территории</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ЗОНЫ РЕКРЕАЦИИ</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Р-1</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центра рекреационных территорий</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Р-2</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парков, бульваров, набережных</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Р-3</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Зона природных ландшафтов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Р-4</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садово-дачных участков и коллективных садов</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Р-5</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Санитарно-защитное озеленение</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Р-6</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земель сельскохозяйственного назначения</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ПРОМЫШЛЕННО-КОММУНАЛЬНЫЕ ЗОНЫ</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ПК-1</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предприятий и складов V-IV классов вредности (санитарно-защитные зоны - до 100 м)</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ПК-2</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предприятий и складов III класса вредности (санитарно-защитные зоны - до 300 м)</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ПК-3</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предприятий и складов II-I классов вредности (санитарно-защитные зоны - до 500 м и более)</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СПЕЦТЕРРИТОРИИ</w:t>
            </w:r>
          </w:p>
        </w:tc>
      </w:tr>
      <w:tr>
        <w:trPr>
          <w:trHeight w:val="75"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объектов специального назначения</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c>
          <w:tcPr>
            <w:tcW w:w="1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логистики</w:t>
            </w:r>
          </w:p>
        </w:tc>
      </w:tr>
    </w:tbl>
    <w:bookmarkStart w:name="z20" w:id="17"/>
    <w:p>
      <w:pPr>
        <w:spacing w:after="0"/>
        <w:ind w:left="0"/>
        <w:jc w:val="left"/>
      </w:pPr>
      <w:r>
        <w:rPr>
          <w:rFonts w:ascii="Times New Roman"/>
          <w:b/>
          <w:i w:val="false"/>
          <w:color w:val="000000"/>
        </w:rPr>
        <w:t xml:space="preserve"> 
6. Транспортная инфраструктура</w:t>
      </w:r>
    </w:p>
    <w:bookmarkEnd w:id="17"/>
    <w:p>
      <w:pPr>
        <w:spacing w:after="0"/>
        <w:ind w:left="0"/>
        <w:jc w:val="both"/>
      </w:pPr>
      <w:r>
        <w:rPr>
          <w:rFonts w:ascii="Times New Roman"/>
          <w:b w:val="false"/>
          <w:i w:val="false"/>
          <w:color w:val="000000"/>
          <w:sz w:val="28"/>
        </w:rPr>
        <w:t>      Увеличение транспортно-транзитного потенциала города за счет строительства через Актобе международной трассы транспортного коридора «Западная Европа – Западный Китай», железнодорожной линии «Хромтау – Алтынсарино» определяет необходимость значительного развития улично-дорожной сети, современных транспортно-пересадочных узлов, транспортной логистики. К ним относятся:</w:t>
      </w:r>
      <w:r>
        <w:br/>
      </w:r>
      <w:r>
        <w:rPr>
          <w:rFonts w:ascii="Times New Roman"/>
          <w:b w:val="false"/>
          <w:i w:val="false"/>
          <w:color w:val="000000"/>
          <w:sz w:val="28"/>
        </w:rPr>
        <w:t>
      1) формирование внешней обводной кольцевой автодороги, состоящей из автодорог международного и республиканского значения («Западная Европа-Западный Китай» и «Самара – Шымкент») по границе города;</w:t>
      </w:r>
      <w:r>
        <w:br/>
      </w:r>
      <w:r>
        <w:rPr>
          <w:rFonts w:ascii="Times New Roman"/>
          <w:b w:val="false"/>
          <w:i w:val="false"/>
          <w:color w:val="000000"/>
          <w:sz w:val="28"/>
        </w:rPr>
        <w:t>
      2) организация новых и реконструкция существующих магистралей городского и районного значения с формированием внутренней кольцевой магистрали вокруг зоны сложившейся застройки в сочетании с городскими диаметрами и хордовыми направлениями;</w:t>
      </w:r>
      <w:r>
        <w:br/>
      </w:r>
      <w:r>
        <w:rPr>
          <w:rFonts w:ascii="Times New Roman"/>
          <w:b w:val="false"/>
          <w:i w:val="false"/>
          <w:color w:val="000000"/>
          <w:sz w:val="28"/>
        </w:rPr>
        <w:t>
      3) создание многофункционального общественно-транспортного центра в районе железнодорожного вокзала с переносом его основных общественно-транспортных функций по другую сторону от железнодорожной магистрали в районе Москвы;</w:t>
      </w:r>
      <w:r>
        <w:br/>
      </w:r>
      <w:r>
        <w:rPr>
          <w:rFonts w:ascii="Times New Roman"/>
          <w:b w:val="false"/>
          <w:i w:val="false"/>
          <w:color w:val="000000"/>
          <w:sz w:val="28"/>
        </w:rPr>
        <w:t xml:space="preserve">
      4) развитие системы транспортно-логистических центров (Южного на базе существующего и нового Северного в месте пересечения транснационального коридора «Западная Европа - Западный Китай» с дифференциацией их функций); </w:t>
      </w:r>
      <w:r>
        <w:br/>
      </w:r>
      <w:r>
        <w:rPr>
          <w:rFonts w:ascii="Times New Roman"/>
          <w:b w:val="false"/>
          <w:i w:val="false"/>
          <w:color w:val="000000"/>
          <w:sz w:val="28"/>
        </w:rPr>
        <w:t>
      5) разворот взлетно-посадочной полосы аэропорта на 68 градусов до 2020 года с целью устранения шумового дискомфорта существующей застройки и возможности территориального развития города в юго-западном и северо-восточном направлениях. Предусматриваются следующие мероприятия, являющиеся логическим продолжением проектных в рамках Генерального плана:</w:t>
      </w:r>
      <w:r>
        <w:br/>
      </w:r>
      <w:r>
        <w:rPr>
          <w:rFonts w:ascii="Times New Roman"/>
          <w:b w:val="false"/>
          <w:i w:val="false"/>
          <w:color w:val="000000"/>
          <w:sz w:val="28"/>
        </w:rPr>
        <w:t>
      1) создание международного авиационного центра в сочетании с деловыми учреждениями и выставочными комплексами;</w:t>
      </w:r>
      <w:r>
        <w:br/>
      </w:r>
      <w:r>
        <w:rPr>
          <w:rFonts w:ascii="Times New Roman"/>
          <w:b w:val="false"/>
          <w:i w:val="false"/>
          <w:color w:val="000000"/>
          <w:sz w:val="28"/>
        </w:rPr>
        <w:t>
      2) создание железнодорожных обводов для пропуска транзита и формирование нового железнодорожного узла в районе села Бестамак с сортировочной станцией;</w:t>
      </w:r>
      <w:r>
        <w:br/>
      </w:r>
      <w:r>
        <w:rPr>
          <w:rFonts w:ascii="Times New Roman"/>
          <w:b w:val="false"/>
          <w:i w:val="false"/>
          <w:color w:val="000000"/>
          <w:sz w:val="28"/>
        </w:rPr>
        <w:t>
      3) формирование общественно-транспортных узлов на основе станций беспересадочного пригородно-городского рельсового транспорта станций «Жинишке», «Бульвар Абая», «Проспект А. Молдагуловой», «Автовокзал», «Центральный вокзал», «улица Оренбургская».</w:t>
      </w:r>
    </w:p>
    <w:bookmarkStart w:name="z21" w:id="18"/>
    <w:p>
      <w:pPr>
        <w:spacing w:after="0"/>
        <w:ind w:left="0"/>
        <w:jc w:val="left"/>
      </w:pPr>
      <w:r>
        <w:rPr>
          <w:rFonts w:ascii="Times New Roman"/>
          <w:b/>
          <w:i w:val="false"/>
          <w:color w:val="000000"/>
        </w:rPr>
        <w:t xml:space="preserve"> 
7. Инженерная инфраструктура</w:t>
      </w:r>
    </w:p>
    <w:bookmarkEnd w:id="18"/>
    <w:bookmarkStart w:name="z22" w:id="19"/>
    <w:p>
      <w:pPr>
        <w:spacing w:after="0"/>
        <w:ind w:left="0"/>
        <w:jc w:val="both"/>
      </w:pPr>
      <w:r>
        <w:rPr>
          <w:rFonts w:ascii="Times New Roman"/>
          <w:b w:val="false"/>
          <w:i w:val="false"/>
          <w:color w:val="000000"/>
          <w:sz w:val="28"/>
        </w:rPr>
        <w:t xml:space="preserve">
1. Водоснабжение </w:t>
      </w:r>
    </w:p>
    <w:bookmarkEnd w:id="19"/>
    <w:p>
      <w:pPr>
        <w:spacing w:after="0"/>
        <w:ind w:left="0"/>
        <w:jc w:val="both"/>
      </w:pPr>
      <w:r>
        <w:rPr>
          <w:rFonts w:ascii="Times New Roman"/>
          <w:b w:val="false"/>
          <w:i w:val="false"/>
          <w:color w:val="000000"/>
          <w:sz w:val="28"/>
        </w:rPr>
        <w:t>      Акционерное общество «Акбулак» осуществляет водоснабжение города Актобе из двадцати девяти подземных водозаборов общей проектной производительностью 188,128 тыс. м</w:t>
      </w:r>
      <w:r>
        <w:rPr>
          <w:rFonts w:ascii="Times New Roman"/>
          <w:b w:val="false"/>
          <w:i w:val="false"/>
          <w:color w:val="000000"/>
          <w:vertAlign w:val="superscript"/>
        </w:rPr>
        <w:t>3</w:t>
      </w:r>
      <w:r>
        <w:rPr>
          <w:rFonts w:ascii="Times New Roman"/>
          <w:b w:val="false"/>
          <w:i w:val="false"/>
          <w:color w:val="000000"/>
          <w:sz w:val="28"/>
        </w:rPr>
        <w:t>/сут.</w:t>
      </w:r>
      <w:r>
        <w:br/>
      </w:r>
      <w:r>
        <w:rPr>
          <w:rFonts w:ascii="Times New Roman"/>
          <w:b w:val="false"/>
          <w:i w:val="false"/>
          <w:color w:val="000000"/>
          <w:sz w:val="28"/>
        </w:rPr>
        <w:t xml:space="preserve">
      Схема хозяйственно-питьевого водоснабжения сохраняется по существующей схеме с использованием подземных вод Верхне-Каргалинского, Кундактыкырского, Илекских Правобережного и Левобережного, а также Тамдинского водозаборов. Водоснабжение с учетом технологических нужд промышленных предприятий принято из подземных вод месторождений с утвержденными запасами. </w:t>
      </w:r>
      <w:r>
        <w:br/>
      </w:r>
      <w:r>
        <w:rPr>
          <w:rFonts w:ascii="Times New Roman"/>
          <w:b w:val="false"/>
          <w:i w:val="false"/>
          <w:color w:val="000000"/>
          <w:sz w:val="28"/>
        </w:rPr>
        <w:t>
      Общий баланс подземных вод в районе города Актобе с утвержденными запасами составляет 424,3 тыс м</w:t>
      </w:r>
      <w:r>
        <w:rPr>
          <w:rFonts w:ascii="Times New Roman"/>
          <w:b w:val="false"/>
          <w:i w:val="false"/>
          <w:color w:val="000000"/>
          <w:vertAlign w:val="superscript"/>
        </w:rPr>
        <w:t>3</w:t>
      </w:r>
      <w:r>
        <w:rPr>
          <w:rFonts w:ascii="Times New Roman"/>
          <w:b w:val="false"/>
          <w:i w:val="false"/>
          <w:color w:val="000000"/>
          <w:sz w:val="28"/>
        </w:rPr>
        <w:t>/ сут, что обеспечивает потребности в воде на 2030 год.</w:t>
      </w:r>
      <w:r>
        <w:br/>
      </w:r>
      <w:r>
        <w:rPr>
          <w:rFonts w:ascii="Times New Roman"/>
          <w:b w:val="false"/>
          <w:i w:val="false"/>
          <w:color w:val="000000"/>
          <w:sz w:val="28"/>
        </w:rPr>
        <w:t>
      Среднесуточное водопотребление воды для хозяйственно-питьевых целей на 2020 год составит 117896 м</w:t>
      </w:r>
      <w:r>
        <w:rPr>
          <w:rFonts w:ascii="Times New Roman"/>
          <w:b w:val="false"/>
          <w:i w:val="false"/>
          <w:color w:val="000000"/>
          <w:vertAlign w:val="superscript"/>
        </w:rPr>
        <w:t>3</w:t>
      </w:r>
      <w:r>
        <w:rPr>
          <w:rFonts w:ascii="Times New Roman"/>
          <w:b w:val="false"/>
          <w:i w:val="false"/>
          <w:color w:val="000000"/>
          <w:sz w:val="28"/>
        </w:rPr>
        <w:t>/сут., на расчетный срок - 157822 м</w:t>
      </w:r>
      <w:r>
        <w:rPr>
          <w:rFonts w:ascii="Times New Roman"/>
          <w:b w:val="false"/>
          <w:i w:val="false"/>
          <w:color w:val="000000"/>
          <w:vertAlign w:val="superscript"/>
        </w:rPr>
        <w:t>3</w:t>
      </w:r>
      <w:r>
        <w:rPr>
          <w:rFonts w:ascii="Times New Roman"/>
          <w:b w:val="false"/>
          <w:i w:val="false"/>
          <w:color w:val="000000"/>
          <w:sz w:val="28"/>
        </w:rPr>
        <w:t>/сут.</w:t>
      </w:r>
    </w:p>
    <w:bookmarkStart w:name="z23" w:id="20"/>
    <w:p>
      <w:pPr>
        <w:spacing w:after="0"/>
        <w:ind w:left="0"/>
        <w:jc w:val="both"/>
      </w:pPr>
      <w:r>
        <w:rPr>
          <w:rFonts w:ascii="Times New Roman"/>
          <w:b w:val="false"/>
          <w:i w:val="false"/>
          <w:color w:val="000000"/>
          <w:sz w:val="28"/>
        </w:rPr>
        <w:t>
2. Водоотведение</w:t>
      </w:r>
    </w:p>
    <w:bookmarkEnd w:id="20"/>
    <w:p>
      <w:pPr>
        <w:spacing w:after="0"/>
        <w:ind w:left="0"/>
        <w:jc w:val="both"/>
      </w:pPr>
      <w:r>
        <w:rPr>
          <w:rFonts w:ascii="Times New Roman"/>
          <w:b w:val="false"/>
          <w:i w:val="false"/>
          <w:color w:val="000000"/>
          <w:sz w:val="28"/>
        </w:rPr>
        <w:t>      Объемы водоотведения по городу Актобе к 2020 году составят 102829 м</w:t>
      </w:r>
      <w:r>
        <w:rPr>
          <w:rFonts w:ascii="Times New Roman"/>
          <w:b w:val="false"/>
          <w:i w:val="false"/>
          <w:color w:val="000000"/>
          <w:vertAlign w:val="superscript"/>
        </w:rPr>
        <w:t>3</w:t>
      </w:r>
      <w:r>
        <w:rPr>
          <w:rFonts w:ascii="Times New Roman"/>
          <w:b w:val="false"/>
          <w:i w:val="false"/>
          <w:color w:val="000000"/>
          <w:sz w:val="28"/>
        </w:rPr>
        <w:t>/сут. на расчетный срок – 139600 м</w:t>
      </w:r>
      <w:r>
        <w:rPr>
          <w:rFonts w:ascii="Times New Roman"/>
          <w:b w:val="false"/>
          <w:i w:val="false"/>
          <w:color w:val="000000"/>
          <w:vertAlign w:val="superscript"/>
        </w:rPr>
        <w:t>3</w:t>
      </w:r>
      <w:r>
        <w:rPr>
          <w:rFonts w:ascii="Times New Roman"/>
          <w:b w:val="false"/>
          <w:i w:val="false"/>
          <w:color w:val="000000"/>
          <w:sz w:val="28"/>
        </w:rPr>
        <w:t>/сут.</w:t>
      </w:r>
      <w:r>
        <w:br/>
      </w:r>
      <w:r>
        <w:rPr>
          <w:rFonts w:ascii="Times New Roman"/>
          <w:b w:val="false"/>
          <w:i w:val="false"/>
          <w:color w:val="000000"/>
          <w:sz w:val="28"/>
        </w:rPr>
        <w:t>
      Сточные воды города системой существующих и проектируемых самотечных коллекторов и напорных трубопроводов, обслуживаемые канализационными насосными станциями, отводятся на сооружения механической и полной искусственной биологической очистки стоков с дальнейшей утилизацией очищенных стоков и повторного открытого промышленного водоснабжения.</w:t>
      </w:r>
    </w:p>
    <w:bookmarkStart w:name="z24" w:id="21"/>
    <w:p>
      <w:pPr>
        <w:spacing w:after="0"/>
        <w:ind w:left="0"/>
        <w:jc w:val="both"/>
      </w:pPr>
      <w:r>
        <w:rPr>
          <w:rFonts w:ascii="Times New Roman"/>
          <w:b w:val="false"/>
          <w:i w:val="false"/>
          <w:color w:val="000000"/>
          <w:sz w:val="28"/>
        </w:rPr>
        <w:t>
3. Теплоснабжение</w:t>
      </w:r>
    </w:p>
    <w:bookmarkEnd w:id="21"/>
    <w:p>
      <w:pPr>
        <w:spacing w:after="0"/>
        <w:ind w:left="0"/>
        <w:jc w:val="both"/>
      </w:pPr>
      <w:r>
        <w:rPr>
          <w:rFonts w:ascii="Times New Roman"/>
          <w:b w:val="false"/>
          <w:i w:val="false"/>
          <w:color w:val="000000"/>
          <w:sz w:val="28"/>
        </w:rPr>
        <w:t>      Система теплоснабжения города Актобе является одной из самых сложных систем инженерной инфраструктуры города.</w:t>
      </w:r>
      <w:r>
        <w:br/>
      </w:r>
      <w:r>
        <w:rPr>
          <w:rFonts w:ascii="Times New Roman"/>
          <w:b w:val="false"/>
          <w:i w:val="false"/>
          <w:color w:val="000000"/>
          <w:sz w:val="28"/>
        </w:rPr>
        <w:t>
      Преобладающее развитие получила система теплофикации на базе акционерного общества «Актобе ТЭЦ-1», которая обеспечивает 45 % общей тепловой нагрузки города.</w:t>
      </w:r>
      <w:r>
        <w:br/>
      </w:r>
      <w:r>
        <w:rPr>
          <w:rFonts w:ascii="Times New Roman"/>
          <w:b w:val="false"/>
          <w:i w:val="false"/>
          <w:color w:val="000000"/>
          <w:sz w:val="28"/>
        </w:rPr>
        <w:t>
      Установленная (располагаемая) мощность акционерного общества «Актобе ТЭЦ-1» станции на 1 января 2015 года составила: электрическая - 88 МВт (82,8 МВт); тепловая - 877 Гкал/ч (653 Гкал/ч).</w:t>
      </w:r>
      <w:r>
        <w:br/>
      </w:r>
      <w:r>
        <w:rPr>
          <w:rFonts w:ascii="Times New Roman"/>
          <w:b w:val="false"/>
          <w:i w:val="false"/>
          <w:color w:val="000000"/>
          <w:sz w:val="28"/>
        </w:rPr>
        <w:t>
      Располагаемая тепловая мощность определена с учетом ограничений мощности водогрейных котлов (255 Гкал/ч) по утвержденному температурному графику 110-70</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xml:space="preserve">
      Тепловая энергия в виде технологического пара отпускается заводу хромовых соединений на технологические нужды. </w:t>
      </w:r>
      <w:r>
        <w:br/>
      </w:r>
      <w:r>
        <w:rPr>
          <w:rFonts w:ascii="Times New Roman"/>
          <w:b w:val="false"/>
          <w:i w:val="false"/>
          <w:color w:val="000000"/>
          <w:sz w:val="28"/>
        </w:rPr>
        <w:t>
      В настоящее время все оборудование акционерного общества «Актобе ТЭЦ-1» находится в удовлетворительном состоянии.</w:t>
      </w:r>
      <w:r>
        <w:br/>
      </w:r>
      <w:r>
        <w:rPr>
          <w:rFonts w:ascii="Times New Roman"/>
          <w:b w:val="false"/>
          <w:i w:val="false"/>
          <w:color w:val="000000"/>
          <w:sz w:val="28"/>
        </w:rPr>
        <w:t>
      Электростанция Актюбинского завода ферросплавов (ЭС АЗФ ТНК «Казхром») является блок-станцией ферросплавного завода, весь полезный отпуск электрической и тепловой энергии которой направлен на производственные нужды завода. Реализация электро-, теплоэнергии сторонним потребителям не производится.</w:t>
      </w:r>
      <w:r>
        <w:br/>
      </w:r>
      <w:r>
        <w:rPr>
          <w:rFonts w:ascii="Times New Roman"/>
          <w:b w:val="false"/>
          <w:i w:val="false"/>
          <w:color w:val="000000"/>
          <w:sz w:val="28"/>
        </w:rPr>
        <w:t>
      В настоящее время в городе насчитывается более 150 котельных различной мощности и принадлежности, из них: 100 промышленных и 50 коммунальных, в том числе 23 котельные находятся на балансе теплоснабжающей организации акционерного общества «Трансэнерго».</w:t>
      </w:r>
      <w:r>
        <w:br/>
      </w:r>
      <w:r>
        <w:rPr>
          <w:rFonts w:ascii="Times New Roman"/>
          <w:b w:val="false"/>
          <w:i w:val="false"/>
          <w:color w:val="000000"/>
          <w:sz w:val="28"/>
        </w:rPr>
        <w:t>
      Транспорт тепла от акционерного общества «Актобе ТЭЦ-1» до потребителей осуществляется акционерным обществом «Трансэнерго» по магистральным и распределительным тепловым сетям.</w:t>
      </w:r>
      <w:r>
        <w:br/>
      </w:r>
      <w:r>
        <w:rPr>
          <w:rFonts w:ascii="Times New Roman"/>
          <w:b w:val="false"/>
          <w:i w:val="false"/>
          <w:color w:val="000000"/>
          <w:sz w:val="28"/>
        </w:rPr>
        <w:t>
      Всего в ведении акционерного общества «Трансэнерго» находится около 165 км магистральных и распределительных тепловых сетей. Регулирование отпуска тепла потребителям от акционерного общества «Актобе ТЭЦ-1» осуществляется по температурному графику 110-70</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Ожидаемый прирост тепловых нагрузок города Актобе в период до 2030 года приведен ниже в таблице.</w:t>
      </w:r>
    </w:p>
    <w:bookmarkStart w:name="z25" w:id="22"/>
    <w:p>
      <w:pPr>
        <w:spacing w:after="0"/>
        <w:ind w:left="0"/>
        <w:jc w:val="both"/>
      </w:pPr>
      <w:r>
        <w:rPr>
          <w:rFonts w:ascii="Times New Roman"/>
          <w:b w:val="false"/>
          <w:i w:val="false"/>
          <w:color w:val="000000"/>
          <w:sz w:val="28"/>
        </w:rPr>
        <w:t>
                                                        Таблица 4</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96"/>
        <w:gridCol w:w="1443"/>
        <w:gridCol w:w="2020"/>
        <w:gridCol w:w="1299"/>
        <w:gridCol w:w="2021"/>
        <w:gridCol w:w="1299"/>
        <w:gridCol w:w="2022"/>
      </w:tblGrid>
      <w:tr>
        <w:trPr>
          <w:trHeight w:val="360" w:hRule="atLeast"/>
        </w:trPr>
        <w:tc>
          <w:tcPr>
            <w:tcW w:w="38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Потребители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Прирост тепловых нагрузок, Гкал/ч</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первая очередь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расчетный срок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за период</w:t>
            </w:r>
          </w:p>
        </w:tc>
      </w:tr>
      <w:tr>
        <w:trPr>
          <w:trHeight w:val="360" w:hRule="atLeast"/>
        </w:trPr>
        <w:tc>
          <w:tcPr>
            <w:tcW w:w="0" w:type="auto"/>
            <w:vMerge/>
            <w:tcBorders>
              <w:top w:val="nil"/>
              <w:left w:val="single" w:color="cfcfcf" w:sz="5"/>
              <w:bottom w:val="single" w:color="cfcfcf" w:sz="5"/>
              <w:right w:val="single" w:color="cfcfcf" w:sz="5"/>
            </w:tcBorders>
          </w:tcP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 т/ч</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Гор.вода, Гкал/ч</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 т/ч</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Гор.вода, Гкал/ч</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 т/ч</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Гор.вода, Гкал/ч</w:t>
            </w:r>
          </w:p>
        </w:tc>
      </w:tr>
      <w:tr>
        <w:trPr>
          <w:trHeight w:val="300" w:hRule="atLeast"/>
        </w:trPr>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285" w:hRule="atLeast"/>
        </w:trPr>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Жилая застройка</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489</w:t>
            </w:r>
          </w:p>
        </w:tc>
      </w:tr>
      <w:tr>
        <w:trPr>
          <w:trHeight w:val="345" w:hRule="atLeast"/>
        </w:trPr>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Общественная застройка</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r>
      <w:tr>
        <w:trPr>
          <w:trHeight w:val="285" w:hRule="atLeast"/>
        </w:trPr>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Промышленность </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0" w:hRule="atLeast"/>
        </w:trPr>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 городу</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680</w:t>
            </w:r>
          </w:p>
        </w:tc>
      </w:tr>
    </w:tbl>
    <w:p>
      <w:pPr>
        <w:spacing w:after="0"/>
        <w:ind w:left="0"/>
        <w:jc w:val="both"/>
      </w:pPr>
      <w:r>
        <w:rPr>
          <w:rFonts w:ascii="Times New Roman"/>
          <w:b w:val="false"/>
          <w:i w:val="false"/>
          <w:color w:val="000000"/>
          <w:sz w:val="28"/>
        </w:rPr>
        <w:t>      В акционерном обществе «Актобе ТЭЦ-1» имеется резерв по располагаемой тепловой мощности порядка 200 Гкал/ч, а с учетом снятия ограничений по водогрейным котлам за счет увеличения теплопотребления – 455 Гкал/ч, и, при соответствующем развитии станции, тепловой мощности будет достаточно для теплоснабжения многоэтажной жилой и общественной застройки до расчетного срока (2030 год).</w:t>
      </w:r>
      <w:r>
        <w:br/>
      </w:r>
      <w:r>
        <w:rPr>
          <w:rFonts w:ascii="Times New Roman"/>
          <w:b w:val="false"/>
          <w:i w:val="false"/>
          <w:color w:val="000000"/>
          <w:sz w:val="28"/>
        </w:rPr>
        <w:t>
      В таблице ниже приведено обеспечение прироста расчетных тепловых нагрузок жилищно-коммунального сектора города Актобе на первую очередь и расчетный срок.</w:t>
      </w:r>
    </w:p>
    <w:bookmarkStart w:name="z26" w:id="23"/>
    <w:p>
      <w:pPr>
        <w:spacing w:after="0"/>
        <w:ind w:left="0"/>
        <w:jc w:val="both"/>
      </w:pPr>
      <w:r>
        <w:rPr>
          <w:rFonts w:ascii="Times New Roman"/>
          <w:b w:val="false"/>
          <w:i w:val="false"/>
          <w:color w:val="000000"/>
          <w:sz w:val="28"/>
        </w:rPr>
        <w:t>
                                               Таблица 5</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0"/>
        <w:gridCol w:w="955"/>
        <w:gridCol w:w="1120"/>
        <w:gridCol w:w="439"/>
        <w:gridCol w:w="956"/>
        <w:gridCol w:w="960"/>
        <w:gridCol w:w="960"/>
        <w:gridCol w:w="723"/>
        <w:gridCol w:w="960"/>
        <w:gridCol w:w="956"/>
        <w:gridCol w:w="1333"/>
        <w:gridCol w:w="440"/>
        <w:gridCol w:w="958"/>
      </w:tblGrid>
      <w:tr>
        <w:trPr>
          <w:trHeight w:val="240" w:hRule="atLeast"/>
        </w:trPr>
        <w:tc>
          <w:tcPr>
            <w:tcW w:w="32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Обеспечение прироста расчетной тепловой нагрузки жилищно-коммунального сектора, Гкал/ч</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первая очередь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расчетный срок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за период</w:t>
            </w:r>
          </w:p>
        </w:tc>
      </w:tr>
      <w:tr>
        <w:trPr>
          <w:trHeight w:val="1500" w:hRule="atLeast"/>
        </w:trPr>
        <w:tc>
          <w:tcPr>
            <w:tcW w:w="0" w:type="auto"/>
            <w:vMerge/>
            <w:tcBorders>
              <w:top w:val="nil"/>
              <w:left w:val="single" w:color="cfcfcf" w:sz="5"/>
              <w:bottom w:val="single" w:color="cfcfcf" w:sz="5"/>
              <w:right w:val="single" w:color="cfcfcf" w:sz="5"/>
            </w:tcBorders>
          </w:tcP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АО «Актобе ТЭЦ-1»</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новые котельные</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АСО</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АО «Актобе ТЭЦ-1»</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новые котельные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АСО</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АО «Актобе ТЭЦ-1»</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новые котельные</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АСО</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r>
      <w:tr>
        <w:trPr>
          <w:trHeight w:val="225" w:hRule="atLeast"/>
        </w:trPr>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225" w:hRule="atLeast"/>
        </w:trPr>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Всего по городу, в том числе</w:t>
            </w:r>
            <w:r>
              <w:rPr>
                <w:rFonts w:ascii="Times New Roman"/>
                <w:b w:val="false"/>
                <w:i w:val="false"/>
                <w:color w:val="000000"/>
                <w:sz w:val="20"/>
              </w:rPr>
              <w:t>:</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126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60
</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46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232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247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120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12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379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373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180
</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58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611
</w:t>
            </w:r>
          </w:p>
        </w:tc>
      </w:tr>
      <w:tr>
        <w:trPr>
          <w:trHeight w:val="240" w:hRule="atLeast"/>
        </w:trPr>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малоэтажная застройка</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r>
        <w:trPr>
          <w:trHeight w:val="240" w:hRule="atLeast"/>
        </w:trPr>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многоэтажная застройка</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w:t>
            </w:r>
          </w:p>
        </w:tc>
      </w:tr>
      <w:tr>
        <w:trPr>
          <w:trHeight w:val="240" w:hRule="atLeast"/>
        </w:trPr>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общественная застройка</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r>
    </w:tbl>
    <w:p>
      <w:pPr>
        <w:spacing w:after="0"/>
        <w:ind w:left="0"/>
        <w:jc w:val="both"/>
      </w:pPr>
      <w:r>
        <w:rPr>
          <w:rFonts w:ascii="Times New Roman"/>
          <w:b w:val="false"/>
          <w:i w:val="false"/>
          <w:color w:val="000000"/>
          <w:sz w:val="28"/>
        </w:rPr>
        <w:t>      Для передачи тепла от теплоисточников в районы новой застройки потребуются реконструкция и модернизация существующих магистральных тепловых сетей и опережающее строительство новых:</w:t>
      </w:r>
      <w:r>
        <w:br/>
      </w:r>
      <w:r>
        <w:rPr>
          <w:rFonts w:ascii="Times New Roman"/>
          <w:b w:val="false"/>
          <w:i w:val="false"/>
          <w:color w:val="000000"/>
          <w:sz w:val="28"/>
        </w:rPr>
        <w:t>
      1) реконструкция магистральных тепловых сетей протяженностью 3 км, в том числе на первую очередь – 1,5 км;</w:t>
      </w:r>
      <w:r>
        <w:br/>
      </w:r>
      <w:r>
        <w:rPr>
          <w:rFonts w:ascii="Times New Roman"/>
          <w:b w:val="false"/>
          <w:i w:val="false"/>
          <w:color w:val="000000"/>
          <w:sz w:val="28"/>
        </w:rPr>
        <w:t>
      2) строительство магистральных тепловых сетей протяженностью 25 км, в том числе на первую очередь – 7 км.</w:t>
      </w:r>
      <w:r>
        <w:br/>
      </w:r>
      <w:r>
        <w:rPr>
          <w:rFonts w:ascii="Times New Roman"/>
          <w:b w:val="false"/>
          <w:i w:val="false"/>
          <w:color w:val="000000"/>
          <w:sz w:val="28"/>
        </w:rPr>
        <w:t>
      Потребители, проживающие в существующих малоэтажных зданиях, должны переходить постепенно на современные автономные системы теплоснабжения, которые должны к расчетному сроку заменить устаревшие отопительные установки традиционного типа.</w:t>
      </w:r>
    </w:p>
    <w:bookmarkStart w:name="z27" w:id="24"/>
    <w:p>
      <w:pPr>
        <w:spacing w:after="0"/>
        <w:ind w:left="0"/>
        <w:jc w:val="both"/>
      </w:pPr>
      <w:r>
        <w:rPr>
          <w:rFonts w:ascii="Times New Roman"/>
          <w:b w:val="false"/>
          <w:i w:val="false"/>
          <w:color w:val="000000"/>
          <w:sz w:val="28"/>
        </w:rPr>
        <w:t>
4. Электроснабжение</w:t>
      </w:r>
    </w:p>
    <w:bookmarkEnd w:id="24"/>
    <w:p>
      <w:pPr>
        <w:spacing w:after="0"/>
        <w:ind w:left="0"/>
        <w:jc w:val="both"/>
      </w:pPr>
      <w:r>
        <w:rPr>
          <w:rFonts w:ascii="Times New Roman"/>
          <w:b w:val="false"/>
          <w:i w:val="false"/>
          <w:color w:val="000000"/>
          <w:sz w:val="28"/>
        </w:rPr>
        <w:t>      Электроснабжение потребителей города Актобе осуществляется от собственных источников электрической и тепловой энергии акционерного общества «Актобе ТЭЦ», электростанции Актюбинского завода ферросплавов (ЭС АЗФ ТНК «Казхром»), дефицит электрической мощности покрывается от электростанций Единой электроэнергетической системы Казахстана по сетям 220-500 кВ, распределение электроэнергии осуществляется на напряжение 10 кВ.</w:t>
      </w:r>
      <w:r>
        <w:br/>
      </w:r>
      <w:r>
        <w:rPr>
          <w:rFonts w:ascii="Times New Roman"/>
          <w:b w:val="false"/>
          <w:i w:val="false"/>
          <w:color w:val="000000"/>
          <w:sz w:val="28"/>
        </w:rPr>
        <w:t>
      Рассматриваемый энергоузел имеет электрические связи напряжением 500, 220, 110 кВ с Единой электроэнергетической системой Казахстана и Объединенной энергетической системой Урала (Российская Федерация).</w:t>
      </w:r>
      <w:r>
        <w:br/>
      </w:r>
      <w:r>
        <w:rPr>
          <w:rFonts w:ascii="Times New Roman"/>
          <w:b w:val="false"/>
          <w:i w:val="false"/>
          <w:color w:val="000000"/>
          <w:sz w:val="28"/>
        </w:rPr>
        <w:t>
      Связь с Единой электроэнергетической системой Казахстана осуществляется по воздушной линии (далее – ВЛ) 500 кВ «Житикара – Ульке».</w:t>
      </w:r>
      <w:r>
        <w:br/>
      </w:r>
      <w:r>
        <w:rPr>
          <w:rFonts w:ascii="Times New Roman"/>
          <w:b w:val="false"/>
          <w:i w:val="false"/>
          <w:color w:val="000000"/>
          <w:sz w:val="28"/>
        </w:rPr>
        <w:t>
      Связь с Объединенной энергетической системой Урала осуществляется:</w:t>
      </w:r>
      <w:r>
        <w:br/>
      </w:r>
      <w:r>
        <w:rPr>
          <w:rFonts w:ascii="Times New Roman"/>
          <w:b w:val="false"/>
          <w:i w:val="false"/>
          <w:color w:val="000000"/>
          <w:sz w:val="28"/>
        </w:rPr>
        <w:t>
      1) на напряжении 220 кВ по трем ВЛ: «Новотроицкая – Ульке»; «Орск – Актюбинская»; «Орск – Кемпирсай – Актюбинская»;</w:t>
      </w:r>
      <w:r>
        <w:br/>
      </w:r>
      <w:r>
        <w:rPr>
          <w:rFonts w:ascii="Times New Roman"/>
          <w:b w:val="false"/>
          <w:i w:val="false"/>
          <w:color w:val="000000"/>
          <w:sz w:val="28"/>
        </w:rPr>
        <w:t>
      2) на напряжении 110 кВ по ВЛ «Актюбинская – Каратугай – Яйсан – Акбулак».</w:t>
      </w:r>
      <w:r>
        <w:br/>
      </w:r>
      <w:r>
        <w:rPr>
          <w:rFonts w:ascii="Times New Roman"/>
          <w:b w:val="false"/>
          <w:i w:val="false"/>
          <w:color w:val="000000"/>
          <w:sz w:val="28"/>
        </w:rPr>
        <w:t>
      Собственными источниками электрической и тепловой энергии рассматриваемого энергоузла являются Актюбинская ТЭЦ и электростанция Актюбинского завода ферросплавов акционерного общества ТНК «Казхром», расположенные в северной части города.</w:t>
      </w:r>
      <w:r>
        <w:br/>
      </w:r>
      <w:r>
        <w:rPr>
          <w:rFonts w:ascii="Times New Roman"/>
          <w:b w:val="false"/>
          <w:i w:val="false"/>
          <w:color w:val="000000"/>
          <w:sz w:val="28"/>
        </w:rPr>
        <w:t>
      Акционерное общество «Актобе ТЭЦ» мощностью 88 МВт – основной источник покрытия тепловых и электрических нагрузок города.</w:t>
      </w:r>
      <w:r>
        <w:br/>
      </w:r>
      <w:r>
        <w:rPr>
          <w:rFonts w:ascii="Times New Roman"/>
          <w:b w:val="false"/>
          <w:i w:val="false"/>
          <w:color w:val="000000"/>
          <w:sz w:val="28"/>
        </w:rPr>
        <w:t>
      Электростанция Актюбинского завода ферросплавов мощностью 135 МВт осуществляет электроснабжение только данного предприятия.</w:t>
      </w:r>
      <w:r>
        <w:br/>
      </w:r>
      <w:r>
        <w:rPr>
          <w:rFonts w:ascii="Times New Roman"/>
          <w:b w:val="false"/>
          <w:i w:val="false"/>
          <w:color w:val="000000"/>
          <w:sz w:val="28"/>
        </w:rPr>
        <w:t>
      C вводом ВЛ 500 кВ «Житикара – Ульке» в 2009 году Актюбинский энергоузел вошел в объединенную энергосистему Казахстана.</w:t>
      </w:r>
      <w:r>
        <w:br/>
      </w:r>
      <w:r>
        <w:rPr>
          <w:rFonts w:ascii="Times New Roman"/>
          <w:b w:val="false"/>
          <w:i w:val="false"/>
          <w:color w:val="000000"/>
          <w:sz w:val="28"/>
        </w:rPr>
        <w:t>
      Опорной подстанцией в рассматриваемом районе является ПС 500/220/35 кВ Ульке с автотрансформатором (АТ) мощностью (1х(3х167)+167) МВА и фазоповоротным трансформатором 220/220 кВ (ФПТ) мощностью 400 МВА, который должен осуществлять перераспределение потоков мощности между ВЛ 220 кВ с Российской Федерации и ВЛ 500 кВ «Житикара – Ульке» с ее загрузкой до 70 % от суммарного перетока в сечении при условии сохранения параллельной работы с Единой электроэнергетической системой Российской Федерации, однако по ряду технических причин имеются ограничения по управлению.</w:t>
      </w:r>
      <w:r>
        <w:br/>
      </w:r>
      <w:r>
        <w:rPr>
          <w:rFonts w:ascii="Times New Roman"/>
          <w:b w:val="false"/>
          <w:i w:val="false"/>
          <w:color w:val="000000"/>
          <w:sz w:val="28"/>
        </w:rPr>
        <w:t>
      На территории города размещаются 2 электрические подстанции 220 кВ и 10 подстанций 110 кВ, суммарной установленной мощностью 1364,9 МВА.</w:t>
      </w:r>
      <w:r>
        <w:br/>
      </w:r>
      <w:r>
        <w:rPr>
          <w:rFonts w:ascii="Times New Roman"/>
          <w:b w:val="false"/>
          <w:i w:val="false"/>
          <w:color w:val="000000"/>
          <w:sz w:val="28"/>
        </w:rPr>
        <w:t>
      Опорной подстанцией является подстанция 220/110/10 кВ Актюбинская с АТ мощностью 2х200 МВА и линейно-регулировочными трансформаторами 10/10 кВ мощностью 2х16 МВА.</w:t>
      </w:r>
      <w:r>
        <w:br/>
      </w:r>
      <w:r>
        <w:rPr>
          <w:rFonts w:ascii="Times New Roman"/>
          <w:b w:val="false"/>
          <w:i w:val="false"/>
          <w:color w:val="000000"/>
          <w:sz w:val="28"/>
        </w:rPr>
        <w:t>
      Практически все городские подстанции 110 кВ двухтрансформаторные, присоединены к ВЛ 110 кВ по блочным схемам. Анализ приведенных данных показывает, что большинство городских подстанций морально и физически устарело. К наиболее устаревшим относятся подстанции: Молзавод, Илекская, Городская, Жилгородок, ГПП.</w:t>
      </w:r>
      <w:r>
        <w:br/>
      </w:r>
      <w:r>
        <w:rPr>
          <w:rFonts w:ascii="Times New Roman"/>
          <w:b w:val="false"/>
          <w:i w:val="false"/>
          <w:color w:val="000000"/>
          <w:sz w:val="28"/>
        </w:rPr>
        <w:t xml:space="preserve">
      Суммарные электрические нагрузки представлены ниже в таблице: </w:t>
      </w:r>
    </w:p>
    <w:bookmarkStart w:name="z28" w:id="25"/>
    <w:p>
      <w:pPr>
        <w:spacing w:after="0"/>
        <w:ind w:left="0"/>
        <w:jc w:val="both"/>
      </w:pPr>
      <w:r>
        <w:rPr>
          <w:rFonts w:ascii="Times New Roman"/>
          <w:b w:val="false"/>
          <w:i w:val="false"/>
          <w:color w:val="000000"/>
          <w:sz w:val="28"/>
        </w:rPr>
        <w:t>
                                                         Таблица 6</w:t>
      </w:r>
      <w:r>
        <w:br/>
      </w:r>
      <w:r>
        <w:rPr>
          <w:rFonts w:ascii="Times New Roman"/>
          <w:b w:val="false"/>
          <w:i w:val="false"/>
          <w:color w:val="000000"/>
          <w:sz w:val="28"/>
        </w:rPr>
        <w:t>
                                                              МВт</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71"/>
        <w:gridCol w:w="3000"/>
        <w:gridCol w:w="3143"/>
        <w:gridCol w:w="3286"/>
      </w:tblGrid>
      <w:tr>
        <w:trPr>
          <w:trHeight w:val="300" w:hRule="atLeast"/>
        </w:trPr>
        <w:tc>
          <w:tcPr>
            <w:tcW w:w="4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Существующая</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очередь</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Расчетный срок</w:t>
            </w:r>
          </w:p>
        </w:tc>
      </w:tr>
      <w:tr>
        <w:trPr>
          <w:trHeight w:val="300" w:hRule="atLeast"/>
        </w:trPr>
        <w:tc>
          <w:tcPr>
            <w:tcW w:w="4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0" w:hRule="atLeast"/>
        </w:trPr>
        <w:tc>
          <w:tcPr>
            <w:tcW w:w="4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Комбыт</w:t>
            </w:r>
            <w:r>
              <w:br/>
            </w:r>
            <w:r>
              <w:rPr>
                <w:rFonts w:ascii="Times New Roman"/>
                <w:b w:val="false"/>
                <w:i w:val="false"/>
                <w:color w:val="000000"/>
                <w:sz w:val="20"/>
              </w:rPr>
              <w:t>
а) жилой</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157,5</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246,3</w:t>
            </w:r>
          </w:p>
        </w:tc>
      </w:tr>
      <w:tr>
        <w:trPr>
          <w:trHeight w:val="300" w:hRule="atLeast"/>
        </w:trPr>
        <w:tc>
          <w:tcPr>
            <w:tcW w:w="4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Комбыт</w:t>
            </w:r>
            <w:r>
              <w:br/>
            </w:r>
            <w:r>
              <w:rPr>
                <w:rFonts w:ascii="Times New Roman"/>
                <w:b w:val="false"/>
                <w:i w:val="false"/>
                <w:color w:val="000000"/>
                <w:sz w:val="20"/>
              </w:rPr>
              <w:t>
а) общественный</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r>
      <w:tr>
        <w:trPr>
          <w:trHeight w:val="300" w:hRule="atLeast"/>
        </w:trPr>
        <w:tc>
          <w:tcPr>
            <w:tcW w:w="4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Комбыт</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176,1</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238,5</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379,3</w:t>
            </w:r>
          </w:p>
        </w:tc>
      </w:tr>
      <w:tr>
        <w:trPr>
          <w:trHeight w:val="300" w:hRule="atLeast"/>
        </w:trPr>
        <w:tc>
          <w:tcPr>
            <w:tcW w:w="4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Комбыт, с Ко Км</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74,1</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159,5</w:t>
            </w:r>
          </w:p>
        </w:tc>
      </w:tr>
      <w:tr>
        <w:trPr>
          <w:trHeight w:val="300" w:hRule="atLeast"/>
        </w:trPr>
        <w:tc>
          <w:tcPr>
            <w:tcW w:w="4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 всего</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357</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w:t>
            </w:r>
          </w:p>
        </w:tc>
      </w:tr>
      <w:tr>
        <w:trPr>
          <w:trHeight w:val="300" w:hRule="atLeast"/>
        </w:trPr>
        <w:tc>
          <w:tcPr>
            <w:tcW w:w="4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нагрузка с Ко Км</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457</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582</w:t>
            </w:r>
          </w:p>
        </w:tc>
      </w:tr>
    </w:tbl>
    <w:p>
      <w:pPr>
        <w:spacing w:after="0"/>
        <w:ind w:left="0"/>
        <w:jc w:val="both"/>
      </w:pPr>
      <w:r>
        <w:rPr>
          <w:rFonts w:ascii="Times New Roman"/>
          <w:b w:val="false"/>
          <w:i w:val="false"/>
          <w:color w:val="000000"/>
          <w:sz w:val="28"/>
        </w:rPr>
        <w:t>      Причинами интенсивного роста электрических нагрузок являются:</w:t>
      </w:r>
      <w:r>
        <w:br/>
      </w:r>
      <w:r>
        <w:rPr>
          <w:rFonts w:ascii="Times New Roman"/>
          <w:b w:val="false"/>
          <w:i w:val="false"/>
          <w:color w:val="000000"/>
          <w:sz w:val="28"/>
        </w:rPr>
        <w:t>
      1) возрастающая численность населения;</w:t>
      </w:r>
      <w:r>
        <w:br/>
      </w:r>
      <w:r>
        <w:rPr>
          <w:rFonts w:ascii="Times New Roman"/>
          <w:b w:val="false"/>
          <w:i w:val="false"/>
          <w:color w:val="000000"/>
          <w:sz w:val="28"/>
        </w:rPr>
        <w:t>
      2) улучшение качества жизни населения;</w:t>
      </w:r>
      <w:r>
        <w:br/>
      </w:r>
      <w:r>
        <w:rPr>
          <w:rFonts w:ascii="Times New Roman"/>
          <w:b w:val="false"/>
          <w:i w:val="false"/>
          <w:color w:val="000000"/>
          <w:sz w:val="28"/>
        </w:rPr>
        <w:t>
      3) развитие промышленности.</w:t>
      </w:r>
      <w:r>
        <w:br/>
      </w:r>
      <w:r>
        <w:rPr>
          <w:rFonts w:ascii="Times New Roman"/>
          <w:b w:val="false"/>
          <w:i w:val="false"/>
          <w:color w:val="000000"/>
          <w:sz w:val="28"/>
        </w:rPr>
        <w:t>
      Рекомендуемый выше объем электросетевого строительства на период 2020 – 2030 годы позволит обеспечить покрытие перспективных уровней электрических нагрузок потребителей города Актобе с необходимой степенью надежности.</w:t>
      </w:r>
    </w:p>
    <w:bookmarkStart w:name="z29" w:id="26"/>
    <w:p>
      <w:pPr>
        <w:spacing w:after="0"/>
        <w:ind w:left="0"/>
        <w:jc w:val="both"/>
      </w:pPr>
      <w:r>
        <w:rPr>
          <w:rFonts w:ascii="Times New Roman"/>
          <w:b w:val="false"/>
          <w:i w:val="false"/>
          <w:color w:val="000000"/>
          <w:sz w:val="28"/>
        </w:rPr>
        <w:t>
5. Газоснабжение</w:t>
      </w:r>
    </w:p>
    <w:bookmarkEnd w:id="26"/>
    <w:p>
      <w:pPr>
        <w:spacing w:after="0"/>
        <w:ind w:left="0"/>
        <w:jc w:val="both"/>
      </w:pPr>
      <w:r>
        <w:rPr>
          <w:rFonts w:ascii="Times New Roman"/>
          <w:b w:val="false"/>
          <w:i w:val="false"/>
          <w:color w:val="000000"/>
          <w:sz w:val="28"/>
        </w:rPr>
        <w:t>      В настоящее время газоснабжение города Актобе осуществляется в основном нефтяным попутным газом Жанажолского месторождения через магистральный газопровод «Бухара-Урал» в связи с прекращением подачи природного газа из Узбекистана.</w:t>
      </w:r>
      <w:r>
        <w:br/>
      </w:r>
      <w:r>
        <w:rPr>
          <w:rFonts w:ascii="Times New Roman"/>
          <w:b w:val="false"/>
          <w:i w:val="false"/>
          <w:color w:val="000000"/>
          <w:sz w:val="28"/>
        </w:rPr>
        <w:t>
      Сетевой газ распределяется через газораспределительные станции ГРС-1, ГРС-2 и ГРС-3, расположенные в Северо-западном и Южном районах города. Выходное давление газа из газораспределительной станции высокое - I, II категории.</w:t>
      </w:r>
      <w:r>
        <w:br/>
      </w:r>
      <w:r>
        <w:rPr>
          <w:rFonts w:ascii="Times New Roman"/>
          <w:b w:val="false"/>
          <w:i w:val="false"/>
          <w:color w:val="000000"/>
          <w:sz w:val="28"/>
        </w:rPr>
        <w:t>
      В настоящее время практически завершена газификация города сетевым газом. Газифицирован весь жилой сектор, переведены на сетевой газ все крупные, средние и малые источники тепла и промышленные предприятия. Самыми крупными из них являются акционерное общество «Актобе ТЭЦ-1», электростанция Актюбинского завода ферросплавов (ЭС АЗФ ТНК «Казхром»), товарищество с ограниченной ответственностью «Актюбинский рельсобалочный завод», Индустриальная зона и др.</w:t>
      </w:r>
      <w:r>
        <w:br/>
      </w:r>
      <w:r>
        <w:rPr>
          <w:rFonts w:ascii="Times New Roman"/>
          <w:b w:val="false"/>
          <w:i w:val="false"/>
          <w:color w:val="000000"/>
          <w:sz w:val="28"/>
        </w:rPr>
        <w:t xml:space="preserve">
      Основные направления использования газа: </w:t>
      </w:r>
      <w:r>
        <w:br/>
      </w:r>
      <w:r>
        <w:rPr>
          <w:rFonts w:ascii="Times New Roman"/>
          <w:b w:val="false"/>
          <w:i w:val="false"/>
          <w:color w:val="000000"/>
          <w:sz w:val="28"/>
        </w:rPr>
        <w:t>
      1) населением на хозяйственно-бытовые нужды, в том числе на местное отопление в усадебных домостроениях;</w:t>
      </w:r>
      <w:r>
        <w:br/>
      </w:r>
      <w:r>
        <w:rPr>
          <w:rFonts w:ascii="Times New Roman"/>
          <w:b w:val="false"/>
          <w:i w:val="false"/>
          <w:color w:val="000000"/>
          <w:sz w:val="28"/>
        </w:rPr>
        <w:t>
      2) коммунально-бытовые нужды;</w:t>
      </w:r>
      <w:r>
        <w:br/>
      </w:r>
      <w:r>
        <w:rPr>
          <w:rFonts w:ascii="Times New Roman"/>
          <w:b w:val="false"/>
          <w:i w:val="false"/>
          <w:color w:val="000000"/>
          <w:sz w:val="28"/>
        </w:rPr>
        <w:t>
      3) как основной вид топлива для теплоэнергоисточников;</w:t>
      </w:r>
      <w:r>
        <w:br/>
      </w:r>
      <w:r>
        <w:rPr>
          <w:rFonts w:ascii="Times New Roman"/>
          <w:b w:val="false"/>
          <w:i w:val="false"/>
          <w:color w:val="000000"/>
          <w:sz w:val="28"/>
        </w:rPr>
        <w:t>
      4) промышленные нужды.</w:t>
      </w:r>
      <w:r>
        <w:br/>
      </w:r>
      <w:r>
        <w:rPr>
          <w:rFonts w:ascii="Times New Roman"/>
          <w:b w:val="false"/>
          <w:i w:val="false"/>
          <w:color w:val="000000"/>
          <w:sz w:val="28"/>
        </w:rPr>
        <w:t xml:space="preserve">
      На расчетные сроки существующая схема распределения газа для всех типов потребителей сохранится. Районы новой застройки будут снабжаться газом от существующей системы газоснабжения города с прокладкой новых участков газопроводов и строительством новых газорегуляторного пункта и шкафного газорегуляторного пункта. </w:t>
      </w:r>
      <w:r>
        <w:br/>
      </w:r>
      <w:r>
        <w:rPr>
          <w:rFonts w:ascii="Times New Roman"/>
          <w:b w:val="false"/>
          <w:i w:val="false"/>
          <w:color w:val="000000"/>
          <w:sz w:val="28"/>
        </w:rPr>
        <w:t>
      В зонах многоэтажной застройки на новых территориях развития Западного, Каргалинского, Восточного, а также реконструируемых территориях Центрального и Илекского планировочных районов распределительные газовые сети предусматривается устраивать из сетей среднего и низкого давления, преимущественно из полиэтиленовых труб.</w:t>
      </w:r>
      <w:r>
        <w:br/>
      </w:r>
      <w:r>
        <w:rPr>
          <w:rFonts w:ascii="Times New Roman"/>
          <w:b w:val="false"/>
          <w:i w:val="false"/>
          <w:color w:val="000000"/>
          <w:sz w:val="28"/>
        </w:rPr>
        <w:t>
      Газовые сети на территориях реконструкции, особенно низкого давления, подлежат демонтажу и будут запроектированы заново согласно планам новой застройки.</w:t>
      </w:r>
      <w:r>
        <w:br/>
      </w:r>
      <w:r>
        <w:rPr>
          <w:rFonts w:ascii="Times New Roman"/>
          <w:b w:val="false"/>
          <w:i w:val="false"/>
          <w:color w:val="000000"/>
          <w:sz w:val="28"/>
        </w:rPr>
        <w:t xml:space="preserve">
      В то же время мощности существующих автоматических газораспределительных станций (далее – АГРС) ограничены, станции работают на пределе своих возможностей. </w:t>
      </w:r>
      <w:r>
        <w:br/>
      </w:r>
      <w:r>
        <w:rPr>
          <w:rFonts w:ascii="Times New Roman"/>
          <w:b w:val="false"/>
          <w:i w:val="false"/>
          <w:color w:val="000000"/>
          <w:sz w:val="28"/>
        </w:rPr>
        <w:t xml:space="preserve">
      Генеральным планом предусматривается перенос газовой распределительной станции (ГРС-1), расположенной в границах жилой застройки юго-западной части города, что обусловлено недостаточной пропускной способностью в связи с увеличением числа потребителей, моральной и физической изношенностью оборудования, необходимостью повышения безопасности населения. </w:t>
      </w:r>
      <w:r>
        <w:br/>
      </w:r>
      <w:r>
        <w:rPr>
          <w:rFonts w:ascii="Times New Roman"/>
          <w:b w:val="false"/>
          <w:i w:val="false"/>
          <w:color w:val="000000"/>
          <w:sz w:val="28"/>
        </w:rPr>
        <w:t xml:space="preserve">
      Новым местом расположения автоматической распределительной станции (АГРС -1) Генеральным планом предусматривается район «Перемычки с узлом учета» «Управления магистральных газопроводов» (УМГ). При этом существующий участок магистрального газопровода-отвода диаметром 500 мм будет демонтирован. </w:t>
      </w:r>
      <w:r>
        <w:br/>
      </w:r>
      <w:r>
        <w:rPr>
          <w:rFonts w:ascii="Times New Roman"/>
          <w:b w:val="false"/>
          <w:i w:val="false"/>
          <w:color w:val="000000"/>
          <w:sz w:val="28"/>
        </w:rPr>
        <w:t>
      В таблице ниже приведены укрупненные прогнозные показатели по развитию системы газоснабжения на расчетные сроки по годам расчетного периода:</w:t>
      </w:r>
    </w:p>
    <w:bookmarkStart w:name="z30" w:id="27"/>
    <w:p>
      <w:pPr>
        <w:spacing w:after="0"/>
        <w:ind w:left="0"/>
        <w:jc w:val="both"/>
      </w:pPr>
      <w:r>
        <w:rPr>
          <w:rFonts w:ascii="Times New Roman"/>
          <w:b w:val="false"/>
          <w:i w:val="false"/>
          <w:color w:val="000000"/>
          <w:sz w:val="28"/>
        </w:rPr>
        <w:t>
                                                         Таблица 7</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9"/>
        <w:gridCol w:w="1065"/>
        <w:gridCol w:w="1521"/>
        <w:gridCol w:w="2130"/>
        <w:gridCol w:w="913"/>
        <w:gridCol w:w="913"/>
        <w:gridCol w:w="1370"/>
        <w:gridCol w:w="1065"/>
        <w:gridCol w:w="1370"/>
        <w:gridCol w:w="913"/>
        <w:gridCol w:w="1371"/>
      </w:tblGrid>
      <w:tr>
        <w:trPr>
          <w:trHeight w:val="30" w:hRule="atLeast"/>
        </w:trPr>
        <w:tc>
          <w:tcPr>
            <w:tcW w:w="13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Расчетные сроки</w:t>
            </w:r>
          </w:p>
        </w:tc>
        <w:tc>
          <w:tcPr>
            <w:tcW w:w="1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Население, тыс. чел.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Расход природного газа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Кол-во ПРГ, шт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Протяженность газопроводов, км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Годовой млн. м</w:t>
            </w:r>
            <w:r>
              <w:rPr>
                <w:rFonts w:ascii="Times New Roman"/>
                <w:b w:val="false"/>
                <w:i w:val="false"/>
                <w:color w:val="000000"/>
                <w:vertAlign w:val="superscript"/>
              </w:rPr>
              <w:t>3</w:t>
            </w:r>
          </w:p>
        </w:tc>
        <w:tc>
          <w:tcPr>
            <w:tcW w:w="21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часовой м</w:t>
            </w:r>
            <w:r>
              <w:rPr>
                <w:rFonts w:ascii="Times New Roman"/>
                <w:b w:val="false"/>
                <w:i w:val="false"/>
                <w:color w:val="000000"/>
                <w:vertAlign w:val="superscript"/>
              </w:rPr>
              <w:t>3</w:t>
            </w:r>
            <w:r>
              <w:rPr>
                <w:rFonts w:ascii="Times New Roman"/>
                <w:b w:val="false"/>
                <w:i w:val="false"/>
                <w:color w:val="000000"/>
                <w:sz w:val="20"/>
              </w:rPr>
              <w:t>/час</w:t>
            </w:r>
          </w:p>
        </w:tc>
        <w:tc>
          <w:tcPr>
            <w:tcW w:w="9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ГРС</w:t>
            </w:r>
          </w:p>
        </w:tc>
        <w:tc>
          <w:tcPr>
            <w:tcW w:w="9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ГРП</w:t>
            </w:r>
          </w:p>
        </w:tc>
        <w:tc>
          <w:tcPr>
            <w:tcW w:w="13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ШРП</w:t>
            </w:r>
          </w:p>
        </w:tc>
        <w:tc>
          <w:tcPr>
            <w:tcW w:w="1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давления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высокого</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w:t>
            </w:r>
          </w:p>
        </w:tc>
      </w:tr>
      <w:tr>
        <w:trPr>
          <w:trHeight w:val="30" w:hRule="atLeast"/>
        </w:trPr>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1 945</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465 600*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w:t>
            </w:r>
            <w:r>
              <w:rPr>
                <w:rFonts w:ascii="Times New Roman"/>
                <w:b w:val="false"/>
                <w:i w:val="false"/>
                <w:color w:val="000000"/>
                <w:vertAlign w:val="superscript"/>
              </w:rPr>
              <w:t>2</w:t>
            </w:r>
            <w:r>
              <w:rPr>
                <w:rFonts w:ascii="Times New Roman"/>
                <w:b w:val="false"/>
                <w:i w:val="false"/>
                <w:color w:val="000000"/>
                <w:sz w:val="20"/>
              </w:rPr>
              <w:t>*</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693</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473</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2 110</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491 240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0" w:hRule="atLeast"/>
        </w:trPr>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16+10</w:t>
            </w:r>
            <w:r>
              <w:rPr>
                <w:rFonts w:ascii="Times New Roman"/>
                <w:b w:val="false"/>
                <w:i w:val="false"/>
                <w:color w:val="000000"/>
                <w:vertAlign w:val="superscript"/>
              </w:rPr>
              <w:t>3</w:t>
            </w: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r>
              <w:rPr>
                <w:rFonts w:ascii="Times New Roman"/>
                <w:b w:val="false"/>
                <w:i w:val="false"/>
                <w:color w:val="000000"/>
                <w:vertAlign w:val="superscript"/>
              </w:rPr>
              <w:t>4</w:t>
            </w: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5</w:t>
            </w: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 по I очереди</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w:t>
            </w:r>
          </w:p>
        </w:tc>
      </w:tr>
      <w:tr>
        <w:trPr>
          <w:trHeight w:val="30" w:hRule="atLeast"/>
        </w:trPr>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2 342</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533 700</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r>
      <w:tr>
        <w:trPr>
          <w:trHeight w:val="30" w:hRule="atLeast"/>
        </w:trPr>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973</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w:t>
            </w:r>
          </w:p>
        </w:tc>
      </w:tr>
    </w:tbl>
    <w:bookmarkStart w:name="z31" w:id="28"/>
    <w:p>
      <w:pPr>
        <w:spacing w:after="0"/>
        <w:ind w:left="0"/>
        <w:jc w:val="both"/>
      </w:pPr>
      <w:r>
        <w:rPr>
          <w:rFonts w:ascii="Times New Roman"/>
          <w:b w:val="false"/>
          <w:i w:val="false"/>
          <w:color w:val="000000"/>
          <w:sz w:val="28"/>
        </w:rPr>
        <w:t xml:space="preserve">
      Примечания: </w:t>
      </w:r>
      <w:r>
        <w:br/>
      </w:r>
      <w:r>
        <w:rPr>
          <w:rFonts w:ascii="Times New Roman"/>
          <w:b w:val="false"/>
          <w:i w:val="false"/>
          <w:color w:val="000000"/>
          <w:sz w:val="28"/>
        </w:rPr>
        <w:t>
      * - расчетные значения;</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 из них в 1-очередь строительства подлежат демонтажу порядка 42 шт и 73 км;</w:t>
      </w:r>
      <w:r>
        <w:br/>
      </w:r>
      <w:r>
        <w:rPr>
          <w:rFonts w:ascii="Times New Roman"/>
          <w:b w:val="false"/>
          <w:i w:val="false"/>
          <w:color w:val="000000"/>
          <w:sz w:val="28"/>
        </w:rPr>
        <w:t>
      </w:t>
      </w:r>
      <w:r>
        <w:rPr>
          <w:rFonts w:ascii="Times New Roman"/>
          <w:b w:val="false"/>
          <w:i w:val="false"/>
          <w:color w:val="000000"/>
          <w:vertAlign w:val="superscript"/>
        </w:rPr>
        <w:t>3</w:t>
      </w:r>
      <w:r>
        <w:rPr>
          <w:rFonts w:ascii="Times New Roman"/>
          <w:b w:val="false"/>
          <w:i w:val="false"/>
          <w:color w:val="000000"/>
          <w:sz w:val="28"/>
        </w:rPr>
        <w:t>* - обвод новой взлетной полосы газопроводами высокого давления (16 км) и выходные газопроводы из АГРС-1 (10 км);</w:t>
      </w:r>
      <w:r>
        <w:br/>
      </w:r>
      <w:r>
        <w:rPr>
          <w:rFonts w:ascii="Times New Roman"/>
          <w:b w:val="false"/>
          <w:i w:val="false"/>
          <w:color w:val="000000"/>
          <w:sz w:val="28"/>
        </w:rPr>
        <w:t>
      </w:t>
      </w:r>
      <w:r>
        <w:rPr>
          <w:rFonts w:ascii="Times New Roman"/>
          <w:b w:val="false"/>
          <w:i w:val="false"/>
          <w:color w:val="000000"/>
          <w:vertAlign w:val="superscript"/>
        </w:rPr>
        <w:t>4</w:t>
      </w:r>
      <w:r>
        <w:rPr>
          <w:rFonts w:ascii="Times New Roman"/>
          <w:b w:val="false"/>
          <w:i w:val="false"/>
          <w:color w:val="000000"/>
          <w:sz w:val="28"/>
        </w:rPr>
        <w:t>* - длина газопровода высокого давления 1,2 МПа (18 км), передаваемого на баланс КТГ-Аймак от УМГ.</w:t>
      </w:r>
    </w:p>
    <w:bookmarkEnd w:id="28"/>
    <w:bookmarkStart w:name="z32" w:id="29"/>
    <w:p>
      <w:pPr>
        <w:spacing w:after="0"/>
        <w:ind w:left="0"/>
        <w:jc w:val="both"/>
      </w:pPr>
      <w:r>
        <w:rPr>
          <w:rFonts w:ascii="Times New Roman"/>
          <w:b w:val="false"/>
          <w:i w:val="false"/>
          <w:color w:val="000000"/>
          <w:sz w:val="28"/>
        </w:rPr>
        <w:t>
6. Телефонизация</w:t>
      </w:r>
    </w:p>
    <w:bookmarkEnd w:id="29"/>
    <w:p>
      <w:pPr>
        <w:spacing w:after="0"/>
        <w:ind w:left="0"/>
        <w:jc w:val="both"/>
      </w:pPr>
      <w:r>
        <w:rPr>
          <w:rFonts w:ascii="Times New Roman"/>
          <w:b w:val="false"/>
          <w:i w:val="false"/>
          <w:color w:val="000000"/>
          <w:sz w:val="28"/>
        </w:rPr>
        <w:t>      Телефонизация существующей застройки города Актобе осуществляется от электронных АТС, принадлежащих акционерному обществу «Казахтелеком» и ряда ведомственных автоматических телефонных станций. В настоящее время весь город Актобе охвачен сетью мультисервисного доступа. В городе установлены МАД Litespan, монтированная емкость которого 22388 номеров, задействованная – 18846 номеров, и МАД Iskratel, монтированная емкость которого 9664 номеров, задействованная – 5861 номер.</w:t>
      </w:r>
      <w:r>
        <w:br/>
      </w:r>
      <w:r>
        <w:rPr>
          <w:rFonts w:ascii="Times New Roman"/>
          <w:b w:val="false"/>
          <w:i w:val="false"/>
          <w:color w:val="000000"/>
          <w:sz w:val="28"/>
        </w:rPr>
        <w:t>
      Общая монтированная емкость телефонной сети города Актобе составляет 104677 номеров, задействованных – 90311 номеров. Линейные сооружения магистральной телефонной сети строятся на шкафной системе с элементами зоны прямого питания. Общая длина кабельной линии связи составляет 1613,963 м.</w:t>
      </w:r>
      <w:r>
        <w:br/>
      </w:r>
      <w:r>
        <w:rPr>
          <w:rFonts w:ascii="Times New Roman"/>
          <w:b w:val="false"/>
          <w:i w:val="false"/>
          <w:color w:val="000000"/>
          <w:sz w:val="28"/>
        </w:rPr>
        <w:t xml:space="preserve">
      В целях решения вопроса по организации в городе Актобе безотказной зоны по спросу на услуги телефонии на территории города развернута сеть беспроводного доступа CDMA, которая позволяет обеспечить население телефонной связью в любом районе областного центра, включая пригородную зону. </w:t>
      </w:r>
      <w:r>
        <w:br/>
      </w:r>
      <w:r>
        <w:rPr>
          <w:rFonts w:ascii="Times New Roman"/>
          <w:b w:val="false"/>
          <w:i w:val="false"/>
          <w:color w:val="000000"/>
          <w:sz w:val="28"/>
        </w:rPr>
        <w:t xml:space="preserve">
      Согласно расчетам общая емкость городской телефонной станции города Актобе (в пределах рассматриваемой территории) должна составить: </w:t>
      </w:r>
      <w:r>
        <w:br/>
      </w:r>
      <w:r>
        <w:rPr>
          <w:rFonts w:ascii="Times New Roman"/>
          <w:b w:val="false"/>
          <w:i w:val="false"/>
          <w:color w:val="000000"/>
          <w:sz w:val="28"/>
        </w:rPr>
        <w:t xml:space="preserve">
      1) на первую очередь - 142139 номеров; </w:t>
      </w:r>
      <w:r>
        <w:br/>
      </w:r>
      <w:r>
        <w:rPr>
          <w:rFonts w:ascii="Times New Roman"/>
          <w:b w:val="false"/>
          <w:i w:val="false"/>
          <w:color w:val="000000"/>
          <w:sz w:val="28"/>
        </w:rPr>
        <w:t xml:space="preserve">
      2) на расчетный срок – 197346 номеров. </w:t>
      </w:r>
      <w:r>
        <w:br/>
      </w:r>
      <w:r>
        <w:rPr>
          <w:rFonts w:ascii="Times New Roman"/>
          <w:b w:val="false"/>
          <w:i w:val="false"/>
          <w:color w:val="000000"/>
          <w:sz w:val="28"/>
        </w:rPr>
        <w:t>
      Телефонную сеть города в ближайшем будущем предлагается строить исходя из требований времени – радикальной модернизации ТфОП, поддерживающей практически неограниченный набор услуг. Это эффективно реализуется при использовании MPLS сетей.</w:t>
      </w:r>
      <w:r>
        <w:br/>
      </w:r>
      <w:r>
        <w:rPr>
          <w:rFonts w:ascii="Times New Roman"/>
          <w:b w:val="false"/>
          <w:i w:val="false"/>
          <w:color w:val="000000"/>
          <w:sz w:val="28"/>
        </w:rPr>
        <w:t>
      Проектом предусматривается строительство в новых районах сетей NGN и РОN. Увеличение емкости телефонной сети до расчетных величин в период первой очереди намечается за счет использования резервных номеров и строительства выносных концентраторов или мультисервисных абонентских доступов (МАД), в перспективе – строительства новой автоматической телефонной станции большой емкости и инновационными возможностями.</w:t>
      </w:r>
      <w:r>
        <w:br/>
      </w:r>
      <w:r>
        <w:rPr>
          <w:rFonts w:ascii="Times New Roman"/>
          <w:b w:val="false"/>
          <w:i w:val="false"/>
          <w:color w:val="000000"/>
          <w:sz w:val="28"/>
        </w:rPr>
        <w:t>
      Транспортную сеть предполагается выполнять с помощью волоконно-оптической телефонной связи. Проектом предусматриваются строительство на новых территориях и расширение в существующих районах города оптических сетей FTTx (FTTH/FTTB), направленных на увеличение скорости доступа к сети интернет – услуг широкополосного доступа в интернет.</w:t>
      </w:r>
      <w:r>
        <w:br/>
      </w:r>
      <w:r>
        <w:rPr>
          <w:rFonts w:ascii="Times New Roman"/>
          <w:b w:val="false"/>
          <w:i w:val="false"/>
          <w:color w:val="000000"/>
          <w:sz w:val="28"/>
        </w:rPr>
        <w:t>
      </w:t>
      </w:r>
      <w:r>
        <w:rPr>
          <w:rFonts w:ascii="Times New Roman"/>
          <w:b w:val="false"/>
          <w:i/>
          <w:color w:val="000000"/>
          <w:sz w:val="28"/>
        </w:rPr>
        <w:t>Телевидение и радиофикация.</w:t>
      </w:r>
      <w:r>
        <w:br/>
      </w:r>
      <w:r>
        <w:rPr>
          <w:rFonts w:ascii="Times New Roman"/>
          <w:b w:val="false"/>
          <w:i w:val="false"/>
          <w:color w:val="000000"/>
          <w:sz w:val="28"/>
        </w:rPr>
        <w:t>
      В городе Актобе «Актюбинской областной дирекцией телекоммуникаций» филиала «Казахтелеком» внедрены услуги интерактивного цифрового телевидения ID TV.</w:t>
      </w:r>
      <w:r>
        <w:br/>
      </w:r>
      <w:r>
        <w:rPr>
          <w:rFonts w:ascii="Times New Roman"/>
          <w:b w:val="false"/>
          <w:i w:val="false"/>
          <w:color w:val="000000"/>
          <w:sz w:val="28"/>
        </w:rPr>
        <w:t>
      В связи с переходом на цифровые технологии предполагается увеличить число передающих телесигналов.</w:t>
      </w:r>
      <w:r>
        <w:br/>
      </w:r>
      <w:r>
        <w:rPr>
          <w:rFonts w:ascii="Times New Roman"/>
          <w:b w:val="false"/>
          <w:i w:val="false"/>
          <w:color w:val="000000"/>
          <w:sz w:val="28"/>
        </w:rPr>
        <w:t>
      Проектом предусматривается развитие эфирного радиовещания, включающего в себя систему оповещения населения в случае чрезвычайных ситуаций.</w:t>
      </w:r>
    </w:p>
    <w:bookmarkStart w:name="z33" w:id="30"/>
    <w:p>
      <w:pPr>
        <w:spacing w:after="0"/>
        <w:ind w:left="0"/>
        <w:jc w:val="left"/>
      </w:pPr>
      <w:r>
        <w:rPr>
          <w:rFonts w:ascii="Times New Roman"/>
          <w:b/>
          <w:i w:val="false"/>
          <w:color w:val="000000"/>
        </w:rPr>
        <w:t xml:space="preserve"> 
8. Инженерная подготовка и инженерная защита территории</w:t>
      </w:r>
    </w:p>
    <w:bookmarkEnd w:id="30"/>
    <w:bookmarkStart w:name="z34" w:id="31"/>
    <w:p>
      <w:pPr>
        <w:spacing w:after="0"/>
        <w:ind w:left="0"/>
        <w:jc w:val="both"/>
      </w:pPr>
      <w:r>
        <w:rPr>
          <w:rFonts w:ascii="Times New Roman"/>
          <w:b w:val="false"/>
          <w:i w:val="false"/>
          <w:color w:val="000000"/>
          <w:sz w:val="28"/>
        </w:rPr>
        <w:t>
1. Санитарная очистка</w:t>
      </w:r>
    </w:p>
    <w:bookmarkEnd w:id="31"/>
    <w:p>
      <w:pPr>
        <w:spacing w:after="0"/>
        <w:ind w:left="0"/>
        <w:jc w:val="both"/>
      </w:pPr>
      <w:r>
        <w:rPr>
          <w:rFonts w:ascii="Times New Roman"/>
          <w:b w:val="false"/>
          <w:i w:val="false"/>
          <w:color w:val="000000"/>
          <w:sz w:val="28"/>
        </w:rPr>
        <w:t>      Городской полигон твердых бытовых отходов товарищества с ограниченной ответственностью «Актобе Таза Кала» расположен на северо-западной окраине города Актобе в промышленной зоне на расстоянии 10 км от центра, территория которого составляет 60,2 га.</w:t>
      </w:r>
      <w:r>
        <w:br/>
      </w:r>
      <w:r>
        <w:rPr>
          <w:rFonts w:ascii="Times New Roman"/>
          <w:b w:val="false"/>
          <w:i w:val="false"/>
          <w:color w:val="000000"/>
          <w:sz w:val="28"/>
        </w:rPr>
        <w:t>
      По «Обоснованию инвестиций и проектам модернизации системы управления твердыми бытовыми отходами в городе Актобе» (заключение государственной экспертизы № 04-0727/13 от 10 декабря 2013 года), разработанному акционерным обществом «Казахский Водоканалпроект», предусматриваются:</w:t>
      </w:r>
      <w:r>
        <w:br/>
      </w:r>
      <w:r>
        <w:rPr>
          <w:rFonts w:ascii="Times New Roman"/>
          <w:b w:val="false"/>
          <w:i w:val="false"/>
          <w:color w:val="000000"/>
          <w:sz w:val="28"/>
        </w:rPr>
        <w:t>
      1) сбор и транспортировка;</w:t>
      </w:r>
      <w:r>
        <w:br/>
      </w:r>
      <w:r>
        <w:rPr>
          <w:rFonts w:ascii="Times New Roman"/>
          <w:b w:val="false"/>
          <w:i w:val="false"/>
          <w:color w:val="000000"/>
          <w:sz w:val="28"/>
        </w:rPr>
        <w:t>
      2) сортировка и переработка:</w:t>
      </w:r>
      <w:r>
        <w:br/>
      </w:r>
      <w:r>
        <w:rPr>
          <w:rFonts w:ascii="Times New Roman"/>
          <w:b w:val="false"/>
          <w:i w:val="false"/>
          <w:color w:val="000000"/>
          <w:sz w:val="28"/>
        </w:rPr>
        <w:t>
      а) мощность завода по механизированной сортировке отходов – 75064 т/год;</w:t>
      </w:r>
      <w:r>
        <w:br/>
      </w:r>
      <w:r>
        <w:rPr>
          <w:rFonts w:ascii="Times New Roman"/>
          <w:b w:val="false"/>
          <w:i w:val="false"/>
          <w:color w:val="000000"/>
          <w:sz w:val="28"/>
        </w:rPr>
        <w:t>
      б) мощность цеха по переработке пластмасс – 12643 т/год;</w:t>
      </w:r>
      <w:r>
        <w:br/>
      </w:r>
      <w:r>
        <w:rPr>
          <w:rFonts w:ascii="Times New Roman"/>
          <w:b w:val="false"/>
          <w:i w:val="false"/>
          <w:color w:val="000000"/>
          <w:sz w:val="28"/>
        </w:rPr>
        <w:t>
      в) количество получаемого компоста – 15000 т/год.</w:t>
      </w:r>
      <w:r>
        <w:br/>
      </w:r>
      <w:r>
        <w:rPr>
          <w:rFonts w:ascii="Times New Roman"/>
          <w:b w:val="false"/>
          <w:i w:val="false"/>
          <w:color w:val="000000"/>
          <w:sz w:val="28"/>
        </w:rPr>
        <w:t>
      Полигон захоронения:</w:t>
      </w:r>
      <w:r>
        <w:br/>
      </w:r>
      <w:r>
        <w:rPr>
          <w:rFonts w:ascii="Times New Roman"/>
          <w:b w:val="false"/>
          <w:i w:val="false"/>
          <w:color w:val="000000"/>
          <w:sz w:val="28"/>
        </w:rPr>
        <w:t>
      1) общая площадь земельного участка – 60,2 га.</w:t>
      </w:r>
      <w:r>
        <w:br/>
      </w:r>
      <w:r>
        <w:rPr>
          <w:rFonts w:ascii="Times New Roman"/>
          <w:b w:val="false"/>
          <w:i w:val="false"/>
          <w:color w:val="000000"/>
          <w:sz w:val="28"/>
        </w:rPr>
        <w:t>
      2) общая площадь зданий и сооружений – 571,475м</w:t>
      </w:r>
      <w:r>
        <w:rPr>
          <w:rFonts w:ascii="Times New Roman"/>
          <w:b w:val="false"/>
          <w:i w:val="false"/>
          <w:color w:val="000000"/>
          <w:vertAlign w:val="superscript"/>
        </w:rPr>
        <w:t>2</w:t>
      </w:r>
      <w:r>
        <w:rPr>
          <w:rFonts w:ascii="Times New Roman"/>
          <w:b w:val="false"/>
          <w:i w:val="false"/>
          <w:color w:val="000000"/>
          <w:sz w:val="28"/>
        </w:rPr>
        <w:t>.</w:t>
      </w:r>
    </w:p>
    <w:bookmarkStart w:name="z35" w:id="32"/>
    <w:p>
      <w:pPr>
        <w:spacing w:after="0"/>
        <w:ind w:left="0"/>
        <w:jc w:val="both"/>
      </w:pPr>
      <w:r>
        <w:rPr>
          <w:rFonts w:ascii="Times New Roman"/>
          <w:b w:val="false"/>
          <w:i w:val="false"/>
          <w:color w:val="000000"/>
          <w:sz w:val="28"/>
        </w:rPr>
        <w:t>
2. Инженерная подготовка территории</w:t>
      </w:r>
    </w:p>
    <w:bookmarkEnd w:id="32"/>
    <w:p>
      <w:pPr>
        <w:spacing w:after="0"/>
        <w:ind w:left="0"/>
        <w:jc w:val="both"/>
      </w:pPr>
      <w:r>
        <w:rPr>
          <w:rFonts w:ascii="Times New Roman"/>
          <w:b w:val="false"/>
          <w:i w:val="false"/>
          <w:color w:val="000000"/>
          <w:sz w:val="28"/>
        </w:rPr>
        <w:t>      Исходя из инженерно-геологических и гидрогеологических условий, инженерная подготовка города Актобе предусматривает: понижение уровня грунтовых вод, организацию поверхностного стока, организацию полива зеленых насаждений, защиту территорий от затопления паводковыми водами реки Илек с благоустройством береговой полосы.</w:t>
      </w:r>
      <w:r>
        <w:br/>
      </w:r>
      <w:r>
        <w:rPr>
          <w:rFonts w:ascii="Times New Roman"/>
          <w:b w:val="false"/>
          <w:i w:val="false"/>
          <w:color w:val="000000"/>
          <w:sz w:val="28"/>
        </w:rPr>
        <w:t>
      </w:t>
      </w:r>
      <w:r>
        <w:rPr>
          <w:rFonts w:ascii="Times New Roman"/>
          <w:b w:val="false"/>
          <w:i/>
          <w:color w:val="000000"/>
          <w:sz w:val="28"/>
        </w:rPr>
        <w:t xml:space="preserve">Вертикальная планировка </w:t>
      </w:r>
      <w:r>
        <w:br/>
      </w:r>
      <w:r>
        <w:rPr>
          <w:rFonts w:ascii="Times New Roman"/>
          <w:b w:val="false"/>
          <w:i w:val="false"/>
          <w:color w:val="000000"/>
          <w:sz w:val="28"/>
        </w:rPr>
        <w:t>
      Проектируемая территория представлена сравнительно ровной поверхностью с уклоном в сторону рек Илек и Каргалы. Лишь на побережье реки Илек жилой массив «Жасыл - Тобе» размещается на холмистой поверхности с перепадом высот от 40 до 45 метров. Генеральным планом намечается проведение выборочной вертикальной планировки под зданиями, сооружениями, на некоторых участках проездов и улиц. Перспективные участки строительства, размещаемые в пойменной части реки Илек и подверженные затоплению паводковыми водами, намечено подсыпать до незатопляемых отметок.</w:t>
      </w:r>
      <w:r>
        <w:br/>
      </w:r>
      <w:r>
        <w:rPr>
          <w:rFonts w:ascii="Times New Roman"/>
          <w:b w:val="false"/>
          <w:i w:val="false"/>
          <w:color w:val="000000"/>
          <w:sz w:val="28"/>
        </w:rPr>
        <w:t>
      </w:t>
      </w:r>
      <w:r>
        <w:rPr>
          <w:rFonts w:ascii="Times New Roman"/>
          <w:b w:val="false"/>
          <w:i/>
          <w:color w:val="000000"/>
          <w:sz w:val="28"/>
        </w:rPr>
        <w:t xml:space="preserve">Организация отвода поверхностного стока </w:t>
      </w:r>
      <w:r>
        <w:br/>
      </w:r>
      <w:r>
        <w:rPr>
          <w:rFonts w:ascii="Times New Roman"/>
          <w:b w:val="false"/>
          <w:i w:val="false"/>
          <w:color w:val="000000"/>
          <w:sz w:val="28"/>
        </w:rPr>
        <w:t>
      В качестве источника воды для орошения проектом предлагается использование вод реки Илек, Саздинского и Актюбинского водохранилищ.</w:t>
      </w:r>
      <w:r>
        <w:br/>
      </w:r>
      <w:r>
        <w:rPr>
          <w:rFonts w:ascii="Times New Roman"/>
          <w:b w:val="false"/>
          <w:i w:val="false"/>
          <w:color w:val="000000"/>
          <w:sz w:val="28"/>
        </w:rPr>
        <w:t>
      Благоприятные уклоны поверхности территории города позволяют отводить ливневые и талые воды самотеком с участков застройки. Поверхностные стоки, собранные арычной сетью, выполняющей в период ливневых дождей и весеннего снеготаяния функции по отводу атмосферных вод, перехватываются коллекторами ливневой канализации и сбрасываются по ним на специальные очистные сооружения (отстойники ливневых вод).</w:t>
      </w:r>
      <w:r>
        <w:br/>
      </w:r>
      <w:r>
        <w:rPr>
          <w:rFonts w:ascii="Times New Roman"/>
          <w:b w:val="false"/>
          <w:i w:val="false"/>
          <w:color w:val="000000"/>
          <w:sz w:val="28"/>
        </w:rPr>
        <w:t>
      Отстоявшиеся и очищенные от нефтепродуктов ливневые воды рекомендуется использовать на полив санитарно-защитных зеленых насаждений. Во вневегетационный период очищенные стоки, согласно СН 496-77, сбрасываются в реки и водотоки.</w:t>
      </w:r>
      <w:r>
        <w:br/>
      </w:r>
      <w:r>
        <w:rPr>
          <w:rFonts w:ascii="Times New Roman"/>
          <w:b w:val="false"/>
          <w:i w:val="false"/>
          <w:color w:val="000000"/>
          <w:sz w:val="28"/>
        </w:rPr>
        <w:t>
      В целях рационального использования свежей воды и исключения сброса очищенных сточных вод в реку Илек предлагается рассмотреть возможность повторного использования очищенных сточных вод на полив городских зеленых насаждений.</w:t>
      </w:r>
      <w:r>
        <w:br/>
      </w:r>
      <w:r>
        <w:rPr>
          <w:rFonts w:ascii="Times New Roman"/>
          <w:b w:val="false"/>
          <w:i w:val="false"/>
          <w:color w:val="000000"/>
          <w:sz w:val="28"/>
        </w:rPr>
        <w:t>
      </w:t>
      </w:r>
      <w:r>
        <w:rPr>
          <w:rFonts w:ascii="Times New Roman"/>
          <w:b w:val="false"/>
          <w:i/>
          <w:color w:val="000000"/>
          <w:sz w:val="28"/>
        </w:rPr>
        <w:t>Защита территории от затопления паводковыми водами реки Илек</w:t>
      </w:r>
      <w:r>
        <w:br/>
      </w:r>
      <w:r>
        <w:rPr>
          <w:rFonts w:ascii="Times New Roman"/>
          <w:b w:val="false"/>
          <w:i w:val="false"/>
          <w:color w:val="000000"/>
          <w:sz w:val="28"/>
        </w:rPr>
        <w:t>
      Для защиты территории города, расположенной в пойменной части, от затопления паводковыми водами реки Илек проектом намечены мероприятия по повышению отметок территории участков застройки, а также частичное повышение отметок существующей дороги, проложенной вдоль русла реки.</w:t>
      </w:r>
      <w:r>
        <w:br/>
      </w:r>
      <w:r>
        <w:rPr>
          <w:rFonts w:ascii="Times New Roman"/>
          <w:b w:val="false"/>
          <w:i w:val="false"/>
          <w:color w:val="000000"/>
          <w:sz w:val="28"/>
        </w:rPr>
        <w:t>
      Перспективные участки дороги, которые проектом намечено проложить со стороны реки на новых площадках застройки, в целях защиты от затопления предлагается выполнить в насыпи.</w:t>
      </w:r>
    </w:p>
    <w:bookmarkStart w:name="z36" w:id="33"/>
    <w:p>
      <w:pPr>
        <w:spacing w:after="0"/>
        <w:ind w:left="0"/>
        <w:jc w:val="both"/>
      </w:pPr>
      <w:r>
        <w:rPr>
          <w:rFonts w:ascii="Times New Roman"/>
          <w:b w:val="false"/>
          <w:i w:val="false"/>
          <w:color w:val="000000"/>
          <w:sz w:val="28"/>
        </w:rPr>
        <w:t>
3. Благоустройство русел водотоков</w:t>
      </w:r>
    </w:p>
    <w:bookmarkEnd w:id="33"/>
    <w:p>
      <w:pPr>
        <w:spacing w:after="0"/>
        <w:ind w:left="0"/>
        <w:jc w:val="both"/>
      </w:pPr>
      <w:r>
        <w:rPr>
          <w:rFonts w:ascii="Times New Roman"/>
          <w:b w:val="false"/>
          <w:i w:val="false"/>
          <w:color w:val="000000"/>
          <w:sz w:val="28"/>
        </w:rPr>
        <w:t>      Для эффективного использования городских земель под застройку запланированы следующие основные мероприятия:</w:t>
      </w:r>
      <w:r>
        <w:br/>
      </w:r>
      <w:r>
        <w:rPr>
          <w:rFonts w:ascii="Times New Roman"/>
          <w:b w:val="false"/>
          <w:i w:val="false"/>
          <w:color w:val="000000"/>
          <w:sz w:val="28"/>
        </w:rPr>
        <w:t>
      1) строительство дренажной системы в районах города с высоким уровнем грунтовых вод;</w:t>
      </w:r>
      <w:r>
        <w:br/>
      </w:r>
      <w:r>
        <w:rPr>
          <w:rFonts w:ascii="Times New Roman"/>
          <w:b w:val="false"/>
          <w:i w:val="false"/>
          <w:color w:val="000000"/>
          <w:sz w:val="28"/>
        </w:rPr>
        <w:t>
      2) строительство системы закрытой ливневой канализации с очистными сооружениями для полного сбора и отвода поверхностных вод с городских территорий;</w:t>
      </w:r>
      <w:r>
        <w:br/>
      </w:r>
      <w:r>
        <w:rPr>
          <w:rFonts w:ascii="Times New Roman"/>
          <w:b w:val="false"/>
          <w:i w:val="false"/>
          <w:color w:val="000000"/>
          <w:sz w:val="28"/>
        </w:rPr>
        <w:t xml:space="preserve">
      3) реконструкция и новое строительство на территории города системы поливочных трубопроводов с забором воды насосными станциями из реки Илек, Актюбинского и Саздинского водохранилищ; </w:t>
      </w:r>
      <w:r>
        <w:br/>
      </w:r>
      <w:r>
        <w:rPr>
          <w:rFonts w:ascii="Times New Roman"/>
          <w:b w:val="false"/>
          <w:i w:val="false"/>
          <w:color w:val="000000"/>
          <w:sz w:val="28"/>
        </w:rPr>
        <w:t>
      4) строительство комплекса гидротехнических сооружений, обеспечивающих пропуск вод реки Илек по искусственному руслу, с благоустройством береговой полосы в районе новой многоэтажной застройки;</w:t>
      </w:r>
      <w:r>
        <w:br/>
      </w:r>
      <w:r>
        <w:rPr>
          <w:rFonts w:ascii="Times New Roman"/>
          <w:b w:val="false"/>
          <w:i w:val="false"/>
          <w:color w:val="000000"/>
          <w:sz w:val="28"/>
        </w:rPr>
        <w:t>
      5) строительство дамб обвалования в пойме реки Илек для защиты застройки, расположенной в зоне затопления паводковыми водами реки;</w:t>
      </w:r>
      <w:r>
        <w:br/>
      </w:r>
      <w:r>
        <w:rPr>
          <w:rFonts w:ascii="Times New Roman"/>
          <w:b w:val="false"/>
          <w:i w:val="false"/>
          <w:color w:val="000000"/>
          <w:sz w:val="28"/>
        </w:rPr>
        <w:t>
      6) устройство в пойме реки Илек водоема с зоной водноспортивного отдыха.</w:t>
      </w:r>
    </w:p>
    <w:bookmarkStart w:name="z37" w:id="34"/>
    <w:p>
      <w:pPr>
        <w:spacing w:after="0"/>
        <w:ind w:left="0"/>
        <w:jc w:val="both"/>
      </w:pPr>
      <w:r>
        <w:rPr>
          <w:rFonts w:ascii="Times New Roman"/>
          <w:b w:val="false"/>
          <w:i w:val="false"/>
          <w:color w:val="000000"/>
          <w:sz w:val="28"/>
        </w:rPr>
        <w:t>
4. Пожарная безопасность</w:t>
      </w:r>
    </w:p>
    <w:bookmarkEnd w:id="34"/>
    <w:p>
      <w:pPr>
        <w:spacing w:after="0"/>
        <w:ind w:left="0"/>
        <w:jc w:val="both"/>
      </w:pPr>
      <w:r>
        <w:rPr>
          <w:rFonts w:ascii="Times New Roman"/>
          <w:b w:val="false"/>
          <w:i w:val="false"/>
          <w:color w:val="000000"/>
          <w:sz w:val="28"/>
        </w:rPr>
        <w:t>      В городе Актобе действует три пожарных депо с общим количеством автомобилей 8 единиц.</w:t>
      </w:r>
      <w:r>
        <w:br/>
      </w:r>
      <w:r>
        <w:rPr>
          <w:rFonts w:ascii="Times New Roman"/>
          <w:b w:val="false"/>
          <w:i w:val="false"/>
          <w:color w:val="000000"/>
          <w:sz w:val="28"/>
        </w:rPr>
        <w:t>
      В соответствии со строительными нормами СН РК 2.02-30-2005 «Нормы проектирования объектов органов противопожарной службы» и требованиями СНиП 3.01-01-2002 «Градостроительство городов и населенных пунктов» защиту от пожаров в городе Актобе должны выполнять 12 пожарных частей. С учетом имеющихся трех пожарных депо необходимо дополнительное строительство 9 пожарных депо.</w:t>
      </w:r>
    </w:p>
    <w:bookmarkStart w:name="z38" w:id="35"/>
    <w:p>
      <w:pPr>
        <w:spacing w:after="0"/>
        <w:ind w:left="0"/>
        <w:jc w:val="left"/>
      </w:pPr>
      <w:r>
        <w:rPr>
          <w:rFonts w:ascii="Times New Roman"/>
          <w:b/>
          <w:i w:val="false"/>
          <w:color w:val="000000"/>
        </w:rPr>
        <w:t xml:space="preserve"> 
9. Оценка воздействия на окружающую среду (ОВОС)</w:t>
      </w:r>
    </w:p>
    <w:bookmarkEnd w:id="35"/>
    <w:p>
      <w:pPr>
        <w:spacing w:after="0"/>
        <w:ind w:left="0"/>
        <w:jc w:val="both"/>
      </w:pPr>
      <w:r>
        <w:rPr>
          <w:rFonts w:ascii="Times New Roman"/>
          <w:b w:val="false"/>
          <w:i w:val="false"/>
          <w:color w:val="000000"/>
          <w:sz w:val="28"/>
        </w:rPr>
        <w:t>      При разработке оценки воздействия на окружающую среду были сделаны выводы о намечаемой деятельности по Генеральному плану.</w:t>
      </w:r>
      <w:r>
        <w:br/>
      </w:r>
      <w:r>
        <w:rPr>
          <w:rFonts w:ascii="Times New Roman"/>
          <w:b w:val="false"/>
          <w:i w:val="false"/>
          <w:color w:val="000000"/>
          <w:sz w:val="28"/>
        </w:rPr>
        <w:t>
      В условиях интенсивной урбанизации происходит непрерывный процесс преобразования природных комплексов, что отражается на изменении природных ландшафтов, почвенного покрова, растительного и животного мира, поверхностных, подземных и грунтовых вод. Изменение указанных элементов природы сверх допустимых пределов приводит к их деградации и созданию неблагоприятных условий для жизни населения.</w:t>
      </w:r>
      <w:r>
        <w:br/>
      </w:r>
      <w:r>
        <w:rPr>
          <w:rFonts w:ascii="Times New Roman"/>
          <w:b w:val="false"/>
          <w:i w:val="false"/>
          <w:color w:val="000000"/>
          <w:sz w:val="28"/>
        </w:rPr>
        <w:t>
      Для обеспечения нормальных социальных и санитарно-гигиенических условий жизнедеятельности населения производственное и социально-экономическое развитие города должно быть связано с осуществлением мероприятий по защите и оздоровлению окружающей среды.</w:t>
      </w:r>
      <w:r>
        <w:br/>
      </w:r>
      <w:r>
        <w:rPr>
          <w:rFonts w:ascii="Times New Roman"/>
          <w:b w:val="false"/>
          <w:i w:val="false"/>
          <w:color w:val="000000"/>
          <w:sz w:val="28"/>
        </w:rPr>
        <w:t>
      При выполнении предложенных мероприятий по каждому компоненту окружающей среды возможно предотвращение ухудшения экологической обстановки в городе, улучшение условий проживания населения и оздоровление окружающей среды и человека в соответствии с нормативными требованиями.</w:t>
      </w:r>
      <w:r>
        <w:br/>
      </w:r>
      <w:r>
        <w:rPr>
          <w:rFonts w:ascii="Times New Roman"/>
          <w:b w:val="false"/>
          <w:i w:val="false"/>
          <w:color w:val="000000"/>
          <w:sz w:val="28"/>
        </w:rPr>
        <w:t>
      </w:t>
      </w:r>
      <w:r>
        <w:rPr>
          <w:rFonts w:ascii="Times New Roman"/>
          <w:b w:val="false"/>
          <w:i/>
          <w:color w:val="000000"/>
          <w:sz w:val="28"/>
        </w:rPr>
        <w:t>Атмосферный воздух</w:t>
      </w:r>
      <w:r>
        <w:br/>
      </w:r>
      <w:r>
        <w:rPr>
          <w:rFonts w:ascii="Times New Roman"/>
          <w:b w:val="false"/>
          <w:i w:val="false"/>
          <w:color w:val="000000"/>
          <w:sz w:val="28"/>
        </w:rPr>
        <w:t xml:space="preserve">
      Основные направления проектных решений с соблюдением безопасности существующей и проектируемой городской среды предусматривают: </w:t>
      </w:r>
      <w:r>
        <w:br/>
      </w:r>
      <w:r>
        <w:rPr>
          <w:rFonts w:ascii="Times New Roman"/>
          <w:b w:val="false"/>
          <w:i w:val="false"/>
          <w:color w:val="000000"/>
          <w:sz w:val="28"/>
        </w:rPr>
        <w:t>
      1) развитие новых промышленных территорий в северо-западной части города в значительной удаленности от селитебной территории, формирование транспортно-логистических зон и центров во взаимосвязи с внешними транспортными связями;</w:t>
      </w:r>
      <w:r>
        <w:br/>
      </w:r>
      <w:r>
        <w:rPr>
          <w:rFonts w:ascii="Times New Roman"/>
          <w:b w:val="false"/>
          <w:i w:val="false"/>
          <w:color w:val="000000"/>
          <w:sz w:val="28"/>
        </w:rPr>
        <w:t>
      2) развитие (четкое выявление) санитарно-защитных зон групп промышленных предприятий, совершенствование санирующих функций озелененных пространств развитием системы лесопарков и озеленением пойм рек (с учетом мероприятий по уменьшению их вредных выбросов);</w:t>
      </w:r>
      <w:r>
        <w:br/>
      </w:r>
      <w:r>
        <w:rPr>
          <w:rFonts w:ascii="Times New Roman"/>
          <w:b w:val="false"/>
          <w:i w:val="false"/>
          <w:color w:val="000000"/>
          <w:sz w:val="28"/>
        </w:rPr>
        <w:t>
      3) органичная увязка системы городских зеленых насаждений различного назначения с пойменными территориями, лесными внегородскими насаждениями и др.;</w:t>
      </w:r>
      <w:r>
        <w:br/>
      </w:r>
      <w:r>
        <w:rPr>
          <w:rFonts w:ascii="Times New Roman"/>
          <w:b w:val="false"/>
          <w:i w:val="false"/>
          <w:color w:val="000000"/>
          <w:sz w:val="28"/>
        </w:rPr>
        <w:t>
      4) разворот взлетно-посадочной полосы аэропорта до 2020 года и вынос аэропорта на новую площадку за расчетный срок;</w:t>
      </w:r>
      <w:r>
        <w:br/>
      </w:r>
      <w:r>
        <w:rPr>
          <w:rFonts w:ascii="Times New Roman"/>
          <w:b w:val="false"/>
          <w:i w:val="false"/>
          <w:color w:val="000000"/>
          <w:sz w:val="28"/>
        </w:rPr>
        <w:t>
      5) развитие промышленно-производственной зоны намечается в северо-западном направлении в сторону разъезда Тюльпанный вдоль магистральной железнодорожной линии и автодороги республиканского значения «Актобе – Мартук». Здесь формируется индустриальная зона, завершено строительство рельсо-балочного завода, предусматривается строительство мусороперерабатывающего комбината. Предусмотренные Генеральным планом решения приведут к увеличению территорий под жилищно-гражданское строительство и сокращению выбросов загрязняющих веществ в атмосферу, что значительно улучшит экологическое состояние города.</w:t>
      </w:r>
      <w:r>
        <w:br/>
      </w:r>
      <w:r>
        <w:rPr>
          <w:rFonts w:ascii="Times New Roman"/>
          <w:b w:val="false"/>
          <w:i w:val="false"/>
          <w:color w:val="000000"/>
          <w:sz w:val="28"/>
        </w:rPr>
        <w:t xml:space="preserve">
      По массе выбросов превалируют выбросы от автотранспорта. В их составе присутствуют выбросы загрязняющих веществ 1 (бенз(а)пирен), 2 (азота диоксид), 3 (сажа, диоксид серы) и 4 (оксид углерода, углеводороды) класса опасности. Индикатором влияния на атмосферу города по данным веществам является автотранспорт. </w:t>
      </w:r>
      <w:r>
        <w:br/>
      </w:r>
      <w:r>
        <w:rPr>
          <w:rFonts w:ascii="Times New Roman"/>
          <w:b w:val="false"/>
          <w:i w:val="false"/>
          <w:color w:val="000000"/>
          <w:sz w:val="28"/>
        </w:rPr>
        <w:t>
      Комплексный показатель загрязнения атмосферы (ИЗА) города Актобе выше 14 предельно допустимых концентраций (лето). Степень индекса загрязнения атмосферы по городу Актобе на перспективу оценивается как очень высокая. Оценка воздействия оценивается как воздействие высокой значимости.</w:t>
      </w:r>
      <w:r>
        <w:br/>
      </w:r>
      <w:r>
        <w:rPr>
          <w:rFonts w:ascii="Times New Roman"/>
          <w:b w:val="false"/>
          <w:i w:val="false"/>
          <w:color w:val="000000"/>
          <w:sz w:val="28"/>
        </w:rPr>
        <w:t>
      </w:t>
      </w:r>
      <w:r>
        <w:rPr>
          <w:rFonts w:ascii="Times New Roman"/>
          <w:b w:val="false"/>
          <w:i/>
          <w:color w:val="000000"/>
          <w:sz w:val="28"/>
        </w:rPr>
        <w:t>Водохозяйственная деятельность</w:t>
      </w:r>
      <w:r>
        <w:br/>
      </w:r>
      <w:r>
        <w:rPr>
          <w:rFonts w:ascii="Times New Roman"/>
          <w:b w:val="false"/>
          <w:i w:val="false"/>
          <w:color w:val="000000"/>
          <w:sz w:val="28"/>
        </w:rPr>
        <w:t>
      В качестве источников водоснабжения города Актобе Генеральным планом предлагается использование подземных вод.</w:t>
      </w:r>
      <w:r>
        <w:br/>
      </w:r>
      <w:r>
        <w:rPr>
          <w:rFonts w:ascii="Times New Roman"/>
          <w:b w:val="false"/>
          <w:i w:val="false"/>
          <w:color w:val="000000"/>
          <w:sz w:val="28"/>
        </w:rPr>
        <w:t>
      Реализация государственных программ по мероприятиям, направленным на оздоровление водных ресурсов, ликвидация и локализация очагов загрязнения бором и шестивалентным хромом позволят улучшить качество поверхностных и подземных вод.</w:t>
      </w:r>
      <w:r>
        <w:br/>
      </w:r>
      <w:r>
        <w:rPr>
          <w:rFonts w:ascii="Times New Roman"/>
          <w:b w:val="false"/>
          <w:i w:val="false"/>
          <w:color w:val="000000"/>
          <w:sz w:val="28"/>
        </w:rPr>
        <w:t>
      В целях обеспечения санитарно-эпидемиологической надежности системы водоснабжения на существующих, реконструируемых и вновь проектируемых водозаборных, водопроводных сооружениях, а также водоводах предусматриваются:</w:t>
      </w:r>
      <w:r>
        <w:br/>
      </w:r>
      <w:r>
        <w:rPr>
          <w:rFonts w:ascii="Times New Roman"/>
          <w:b w:val="false"/>
          <w:i w:val="false"/>
          <w:color w:val="000000"/>
          <w:sz w:val="28"/>
        </w:rPr>
        <w:t>
      1) организация зон санитарной охраны на подземных водозаборах в соответствии с нормативными требованиями;</w:t>
      </w:r>
      <w:r>
        <w:br/>
      </w:r>
      <w:r>
        <w:rPr>
          <w:rFonts w:ascii="Times New Roman"/>
          <w:b w:val="false"/>
          <w:i w:val="false"/>
          <w:color w:val="000000"/>
          <w:sz w:val="28"/>
        </w:rPr>
        <w:t>
      2) совершенствование системы водоснабжения с применением установок ультра-фильтров обеззараживания;</w:t>
      </w:r>
      <w:r>
        <w:br/>
      </w:r>
      <w:r>
        <w:rPr>
          <w:rFonts w:ascii="Times New Roman"/>
          <w:b w:val="false"/>
          <w:i w:val="false"/>
          <w:color w:val="000000"/>
          <w:sz w:val="28"/>
        </w:rPr>
        <w:t>
      3) строительство сооружений по умягчению воды и удалению нитратов (в случае ухудшения качества воды – реконструкция реагентного хозяйства);</w:t>
      </w:r>
      <w:r>
        <w:br/>
      </w:r>
      <w:r>
        <w:rPr>
          <w:rFonts w:ascii="Times New Roman"/>
          <w:b w:val="false"/>
          <w:i w:val="false"/>
          <w:color w:val="000000"/>
          <w:sz w:val="28"/>
        </w:rPr>
        <w:t>
      4) проведение гидрогеологических исследований по переоценке эксплуатационных запасов месторождений подземных вод;</w:t>
      </w:r>
      <w:r>
        <w:br/>
      </w:r>
      <w:r>
        <w:rPr>
          <w:rFonts w:ascii="Times New Roman"/>
          <w:b w:val="false"/>
          <w:i w:val="false"/>
          <w:color w:val="000000"/>
          <w:sz w:val="28"/>
        </w:rPr>
        <w:t>
      5) рациональное использование водных ресурсов;</w:t>
      </w:r>
      <w:r>
        <w:br/>
      </w:r>
      <w:r>
        <w:rPr>
          <w:rFonts w:ascii="Times New Roman"/>
          <w:b w:val="false"/>
          <w:i w:val="false"/>
          <w:color w:val="000000"/>
          <w:sz w:val="28"/>
        </w:rPr>
        <w:t>
      6) соблюдение режима хозяйственной деятельности в пределах водоохранных зон и полос водных объектов.</w:t>
      </w:r>
      <w:r>
        <w:br/>
      </w:r>
      <w:r>
        <w:rPr>
          <w:rFonts w:ascii="Times New Roman"/>
          <w:b w:val="false"/>
          <w:i w:val="false"/>
          <w:color w:val="000000"/>
          <w:sz w:val="28"/>
        </w:rPr>
        <w:t>
      Модернизация систем водоотведения позволит ослабить вредное воздействие на водные ресурсы. Генеральным планом предусматривается дальнейшее развитие городской централизованной неполной раздельной системы водоотведения, при которой сточные воды от населения и промышленных предприятий отводятся на канализационные очистные сооружения. Производственные сточные воды, не удовлетворяющие требованиям приема их в хозяйственно-бытовую канализацию, должны подвергаться предварительной очистке на локальных очистных сооружениях самих предприятий, а сточные воды лечебных учреждений, имеющие инфекционные отделения, должны подвергаться предварительному обеззараживанию.</w:t>
      </w:r>
      <w:r>
        <w:br/>
      </w:r>
      <w:r>
        <w:rPr>
          <w:rFonts w:ascii="Times New Roman"/>
          <w:b w:val="false"/>
          <w:i w:val="false"/>
          <w:color w:val="000000"/>
          <w:sz w:val="28"/>
        </w:rPr>
        <w:t>
      Для исключения сброса в реку Илек Генеральным планом предлагается строительство биологических прудов с целью доочистки сточных вод и возможностью повторного использования очищенных сточных вод на полив.</w:t>
      </w:r>
      <w:r>
        <w:br/>
      </w:r>
      <w:r>
        <w:rPr>
          <w:rFonts w:ascii="Times New Roman"/>
          <w:b w:val="false"/>
          <w:i w:val="false"/>
          <w:color w:val="000000"/>
          <w:sz w:val="28"/>
        </w:rPr>
        <w:t>
      Реализация решений по Генеральному плану с учетом перечисленных природоохранных мероприятий позволит ослабить интенсивность воздействия на водные ресурсы.</w:t>
      </w:r>
      <w:r>
        <w:br/>
      </w:r>
      <w:r>
        <w:rPr>
          <w:rFonts w:ascii="Times New Roman"/>
          <w:b w:val="false"/>
          <w:i w:val="false"/>
          <w:color w:val="000000"/>
          <w:sz w:val="28"/>
        </w:rPr>
        <w:t>
      </w:t>
      </w:r>
      <w:r>
        <w:rPr>
          <w:rFonts w:ascii="Times New Roman"/>
          <w:b w:val="false"/>
          <w:i/>
          <w:color w:val="000000"/>
          <w:sz w:val="28"/>
        </w:rPr>
        <w:t>Отходы производства и потребления</w:t>
      </w:r>
      <w:r>
        <w:br/>
      </w:r>
      <w:r>
        <w:rPr>
          <w:rFonts w:ascii="Times New Roman"/>
          <w:b w:val="false"/>
          <w:i w:val="false"/>
          <w:color w:val="000000"/>
          <w:sz w:val="28"/>
        </w:rPr>
        <w:t>
      Основными проблемами в городе являются неорганизованные свалки, отсутствие технологий вторичной переработки промышленных и твердых бытовых отходов.</w:t>
      </w:r>
      <w:r>
        <w:br/>
      </w:r>
      <w:r>
        <w:rPr>
          <w:rFonts w:ascii="Times New Roman"/>
          <w:b w:val="false"/>
          <w:i w:val="false"/>
          <w:color w:val="000000"/>
          <w:sz w:val="28"/>
        </w:rPr>
        <w:t>
      Предложенные мероприятия по благоустройству территории и проведению контроля за осуществлением временного хранения, транспортировки и захоронения отходов, учитывая, что будет значительно улучшено существующее состояние утилизации отходов города, построены полигон промышленных отходов и мусороперерабатывающий завод, позволят уменьшить воздействие на окружающую среду (до средней значимости).</w:t>
      </w:r>
      <w:r>
        <w:br/>
      </w:r>
      <w:r>
        <w:rPr>
          <w:rFonts w:ascii="Times New Roman"/>
          <w:b w:val="false"/>
          <w:i w:val="false"/>
          <w:color w:val="000000"/>
          <w:sz w:val="28"/>
        </w:rPr>
        <w:t>
      </w:t>
      </w:r>
      <w:r>
        <w:rPr>
          <w:rFonts w:ascii="Times New Roman"/>
          <w:b w:val="false"/>
          <w:i/>
          <w:color w:val="000000"/>
          <w:sz w:val="28"/>
        </w:rPr>
        <w:t>Почвенно-растительный покров</w:t>
      </w:r>
      <w:r>
        <w:br/>
      </w:r>
      <w:r>
        <w:rPr>
          <w:rFonts w:ascii="Times New Roman"/>
          <w:b w:val="false"/>
          <w:i w:val="false"/>
          <w:color w:val="000000"/>
          <w:sz w:val="28"/>
        </w:rPr>
        <w:t>
      Выполнение предложенных мер по снижению вредных выбросов в атмосферу, рекультивации и мелиорации нарушенных территорий, строительству завода по переработке твердых бытовых отходов позволяет сделать предположение об ожидаемом ослаблении процесса накопления вредных веществ в окружающей среде, в частности, тяжелых металлов в почвах города.</w:t>
      </w:r>
      <w:r>
        <w:br/>
      </w:r>
      <w:r>
        <w:rPr>
          <w:rFonts w:ascii="Times New Roman"/>
          <w:b w:val="false"/>
          <w:i w:val="false"/>
          <w:color w:val="000000"/>
          <w:sz w:val="28"/>
        </w:rPr>
        <w:t>
      Последующая реализация мероприятий по геохимическому мониторингу качества окружающей среды позволит оперативно реагировать на возможное возникновение экологических проблемных ситуаций на рассматриваемой территории.</w:t>
      </w:r>
      <w:r>
        <w:br/>
      </w:r>
      <w:r>
        <w:rPr>
          <w:rFonts w:ascii="Times New Roman"/>
          <w:b w:val="false"/>
          <w:i w:val="false"/>
          <w:color w:val="000000"/>
          <w:sz w:val="28"/>
        </w:rPr>
        <w:t>
      В целях защиты почв и растительности от вредного воздействия в результате реализации Генерального плана предлагается применение технологий и технических решений, а также специальных мер, призванных сократить масштабы и интенсивность воздействия на почвенный покров и растительность. Высокая степень озеленения с использованием качественного посадочного материала и надлежащего ухода позволит улучшить существующее состояние почвенно-растительного покрова города.</w:t>
      </w:r>
      <w:r>
        <w:br/>
      </w:r>
      <w:r>
        <w:rPr>
          <w:rFonts w:ascii="Times New Roman"/>
          <w:b w:val="false"/>
          <w:i w:val="false"/>
          <w:color w:val="000000"/>
          <w:sz w:val="28"/>
        </w:rPr>
        <w:t>
      </w:t>
      </w:r>
      <w:r>
        <w:rPr>
          <w:rFonts w:ascii="Times New Roman"/>
          <w:b w:val="false"/>
          <w:i/>
          <w:color w:val="000000"/>
          <w:sz w:val="28"/>
        </w:rPr>
        <w:t xml:space="preserve">Геологическая среда </w:t>
      </w:r>
      <w:r>
        <w:br/>
      </w:r>
      <w:r>
        <w:rPr>
          <w:rFonts w:ascii="Times New Roman"/>
          <w:b w:val="false"/>
          <w:i w:val="false"/>
          <w:color w:val="000000"/>
          <w:sz w:val="28"/>
        </w:rPr>
        <w:t>
      Для предотвращения негативного влияния подтопления территорий, функционального использования территорий, обеспечения нормативного санитарного состояния территорий в составе Генерального плана предложено строительство сети ливневой канализации и дренажа.</w:t>
      </w:r>
      <w:r>
        <w:br/>
      </w:r>
      <w:r>
        <w:rPr>
          <w:rFonts w:ascii="Times New Roman"/>
          <w:b w:val="false"/>
          <w:i w:val="false"/>
          <w:color w:val="000000"/>
          <w:sz w:val="28"/>
        </w:rPr>
        <w:t>
      При освоении территорий, сложных по инженерно-геологическим условиям, предусмотрены мероприятия, направленные на устранение неблагоприятных для строительства условий, используя специальные методы возведения зданий и сооружений.</w:t>
      </w:r>
      <w:r>
        <w:br/>
      </w:r>
      <w:r>
        <w:rPr>
          <w:rFonts w:ascii="Times New Roman"/>
          <w:b w:val="false"/>
          <w:i w:val="false"/>
          <w:color w:val="000000"/>
          <w:sz w:val="28"/>
        </w:rPr>
        <w:t>
      </w:t>
      </w:r>
      <w:r>
        <w:rPr>
          <w:rFonts w:ascii="Times New Roman"/>
          <w:b w:val="false"/>
          <w:i/>
          <w:color w:val="000000"/>
          <w:sz w:val="28"/>
        </w:rPr>
        <w:t>Комплексная (интегральная) оценка воздействия</w:t>
      </w:r>
      <w:r>
        <w:rPr>
          <w:rFonts w:ascii="Times New Roman"/>
          <w:b w:val="false"/>
          <w:i w:val="false"/>
          <w:color w:val="000000"/>
          <w:sz w:val="28"/>
        </w:rPr>
        <w:t xml:space="preserve"> при реализации Генерального плана оценивается:</w:t>
      </w:r>
      <w:r>
        <w:br/>
      </w:r>
      <w:r>
        <w:rPr>
          <w:rFonts w:ascii="Times New Roman"/>
          <w:b w:val="false"/>
          <w:i w:val="false"/>
          <w:color w:val="000000"/>
          <w:sz w:val="28"/>
        </w:rPr>
        <w:t xml:space="preserve">
      1) на существующее положение – воздействие высокой значимости; </w:t>
      </w:r>
      <w:r>
        <w:br/>
      </w:r>
      <w:r>
        <w:rPr>
          <w:rFonts w:ascii="Times New Roman"/>
          <w:b w:val="false"/>
          <w:i w:val="false"/>
          <w:color w:val="000000"/>
          <w:sz w:val="28"/>
        </w:rPr>
        <w:t xml:space="preserve">
      2) на первую очередь строительства и расчетный срок, при соблюдении всех предложенных природоохранных и проектных мероприятий, – воздействие средней значимости. </w:t>
      </w:r>
      <w:r>
        <w:br/>
      </w:r>
      <w:r>
        <w:rPr>
          <w:rFonts w:ascii="Times New Roman"/>
          <w:b w:val="false"/>
          <w:i w:val="false"/>
          <w:color w:val="000000"/>
          <w:sz w:val="28"/>
        </w:rPr>
        <w:t>
      Реализация решений по Генеральному плану, с учетом природоохранных мероприятий, позволит ослабить интенсивность воздействия на поверхностные и подземные воды, почвенно-растительный покров и геологическую среду.</w:t>
      </w:r>
      <w:r>
        <w:br/>
      </w:r>
      <w:r>
        <w:rPr>
          <w:rFonts w:ascii="Times New Roman"/>
          <w:b w:val="false"/>
          <w:i w:val="false"/>
          <w:color w:val="000000"/>
          <w:sz w:val="28"/>
        </w:rPr>
        <w:t>
      Положительные аспекты интегрального воздействия на социально-экономическую сферу при реализации Генерального плана отмечаются для большинства рассматриваемых аспектов, отдельные негативные моменты не выходят за пределы низкого уровня воздействия.</w:t>
      </w:r>
    </w:p>
    <w:bookmarkStart w:name="z39" w:id="36"/>
    <w:p>
      <w:pPr>
        <w:spacing w:after="0"/>
        <w:ind w:left="0"/>
        <w:jc w:val="both"/>
      </w:pPr>
      <w:r>
        <w:rPr>
          <w:rFonts w:ascii="Times New Roman"/>
          <w:b w:val="false"/>
          <w:i w:val="false"/>
          <w:color w:val="000000"/>
          <w:sz w:val="28"/>
        </w:rPr>
        <w:t>
                </w:t>
      </w:r>
      <w:r>
        <w:rPr>
          <w:rFonts w:ascii="Times New Roman"/>
          <w:b/>
          <w:i w:val="false"/>
          <w:color w:val="000000"/>
          <w:sz w:val="28"/>
        </w:rPr>
        <w:t>10. Основные технико-экономические показатели</w:t>
      </w:r>
      <w:r>
        <w:br/>
      </w:r>
      <w:r>
        <w:rPr>
          <w:rFonts w:ascii="Times New Roman"/>
          <w:b w:val="false"/>
          <w:i w:val="false"/>
          <w:color w:val="000000"/>
          <w:sz w:val="28"/>
        </w:rPr>
        <w:t>
                      </w:t>
      </w:r>
      <w:r>
        <w:rPr>
          <w:rFonts w:ascii="Times New Roman"/>
          <w:b/>
          <w:i w:val="false"/>
          <w:color w:val="000000"/>
          <w:sz w:val="28"/>
        </w:rPr>
        <w:t>Генерального плана города Актобе</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4"/>
        <w:gridCol w:w="2153"/>
        <w:gridCol w:w="1297"/>
        <w:gridCol w:w="3396"/>
        <w:gridCol w:w="1602"/>
        <w:gridCol w:w="1461"/>
        <w:gridCol w:w="1617"/>
        <w:gridCol w:w="1550"/>
      </w:tblGrid>
      <w:tr>
        <w:trPr>
          <w:trHeight w:val="34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 измерен</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Совр. состояние</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1-очередь</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 срок</w:t>
            </w:r>
          </w:p>
        </w:tc>
      </w:tr>
      <w:tr>
        <w:trPr>
          <w:trHeight w:val="34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4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Территория</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2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 земель населенного пункта в пределах городской, поселковой черты и черты сельского населенного пункта, всего</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42846,9</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71248,4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71248,4</w:t>
            </w:r>
          </w:p>
        </w:tc>
      </w:tr>
      <w:tr>
        <w:trPr>
          <w:trHeight w:val="30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4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жилой и общественной застройки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3551,3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4738</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7386,8</w:t>
            </w:r>
          </w:p>
        </w:tc>
      </w:tr>
      <w:tr>
        <w:trPr>
          <w:trHeight w:val="22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них:</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5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жилая застройка, в том числе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2652,3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3418,4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5134,2</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усадебной и блокированной застройки с земельным участком при доме (квартире)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2113,2</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2322,7</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2481,8</w:t>
            </w:r>
          </w:p>
        </w:tc>
      </w:tr>
      <w:tr>
        <w:trPr>
          <w:trHeight w:val="7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застройки малоэтажными многоквартирными жилыми домами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67,9</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67,9</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67,9</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застройки многоэтажными многоквартирными жилыми домами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471,2</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1027,8</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2584,5</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общественной застройки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899</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1319,6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2252,6</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промышленной и коммунально-складской застройки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3576,1</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4019</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4075,6</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них:</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промышленной застройки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1073,8</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1273,8</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1274</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коммунально-складской застройки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2502,3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2745,2</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2801,6</w:t>
            </w:r>
          </w:p>
        </w:tc>
      </w:tr>
      <w:tr>
        <w:trPr>
          <w:trHeight w:val="78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транспорта, связи и инженерных коммуникаций, из них:</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3072,18</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4073,95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4414,65</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внешнего транспорта</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868,5</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1493,3</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1493,3</w:t>
            </w:r>
          </w:p>
        </w:tc>
      </w:tr>
      <w:tr>
        <w:trPr>
          <w:trHeight w:val="48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магистральных инженерных сетей и сооружений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2203,68</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2580,65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2921,35</w:t>
            </w:r>
          </w:p>
        </w:tc>
      </w:tr>
      <w:tr>
        <w:trPr>
          <w:trHeight w:val="46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сооружений связи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48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особо охраняемых природных территорий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6772,54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8883,93</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9159,29</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заповедников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заказников</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памятников природы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лесов и лесопарков</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6772,54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8883,93</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9159,29</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водоемов и акваторий: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4216,99</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5978,79</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5978,79</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рек, естественных и искусственных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375,14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375,14</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водоохранных зон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2438,8</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4069,76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4069,76</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гидротехнических сооружений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1533,89</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1533,89</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1533,89</w:t>
            </w:r>
          </w:p>
        </w:tc>
      </w:tr>
      <w:tr>
        <w:trPr>
          <w:trHeight w:val="51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сельскохозяйственного использования</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8139,3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32907,35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32551,55</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садово-дачные кооперативы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1879,5</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1574,5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1218,7</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Крестьянские хозяйства</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6259,8</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31332,85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31332,85</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общего пользования</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3235,25</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3906,46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7438,18</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них:</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улиц, дорог, проездов</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1822,3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1988,6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3878,8</w:t>
            </w:r>
          </w:p>
        </w:tc>
      </w:tr>
      <w:tr>
        <w:trPr>
          <w:trHeight w:val="25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пляжей, набережных</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1066,56</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1606,92</w:t>
            </w:r>
          </w:p>
        </w:tc>
      </w:tr>
      <w:tr>
        <w:trPr>
          <w:trHeight w:val="37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парков, скверов, бульваров</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141,92</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407,39</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1285,39</w:t>
            </w:r>
          </w:p>
        </w:tc>
      </w:tr>
      <w:tr>
        <w:trPr>
          <w:trHeight w:val="6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Другие территориальные объекты общего пользования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204,47</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289,47</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667,07</w:t>
            </w:r>
          </w:p>
        </w:tc>
      </w:tr>
      <w:tr>
        <w:trPr>
          <w:trHeight w:val="37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резервные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3066,7</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них:</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развития селитебных территорий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1354,4</w:t>
            </w:r>
          </w:p>
        </w:tc>
      </w:tr>
      <w:tr>
        <w:trPr>
          <w:trHeight w:val="34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развития промышленно-производственных и коммунальных территорий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429,7</w:t>
            </w:r>
          </w:p>
        </w:tc>
      </w:tr>
      <w:tr>
        <w:trPr>
          <w:trHeight w:val="57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организации рекреационных и иных зон</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1282,6</w:t>
            </w:r>
          </w:p>
        </w:tc>
      </w:tr>
      <w:tr>
        <w:trPr>
          <w:trHeight w:val="46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Территории специального значения, тюрьмы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w:t>
            </w:r>
          </w:p>
        </w:tc>
      </w:tr>
      <w:tr>
        <w:trPr>
          <w:trHeight w:val="48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Неиспользуемые территории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10233,74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8599,22</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5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Население</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4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Численность населения с учетом подчиненных населенных пунктов города Актобе, всего на начало 2015 года</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чел.</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города (с учетом сельских населенных пунктов, расположенных на территории города)</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чел.</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387,8</w:t>
            </w:r>
            <w:r>
              <w:br/>
            </w:r>
            <w:r>
              <w:rPr>
                <w:rFonts w:ascii="Times New Roman"/>
                <w:b w:val="false"/>
                <w:i w:val="false"/>
                <w:color w:val="000000"/>
                <w:sz w:val="20"/>
              </w:rPr>
              <w:t>
418,9</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сельские населенные пункты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чел.</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w:t>
            </w:r>
            <w:r>
              <w:br/>
            </w:r>
            <w:r>
              <w:rPr>
                <w:rFonts w:ascii="Times New Roman"/>
                <w:b w:val="false"/>
                <w:i w:val="false"/>
                <w:color w:val="000000"/>
                <w:sz w:val="20"/>
              </w:rPr>
              <w:t>
11,0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Численность населения в проектных границах разрабатываемого Генерального плана</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чел.</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429,9</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1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естественного движения населения, на 1 января 2015 года</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родилось</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чел.</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11179</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умерло</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чел.</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2891</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естественный прирост, человек</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чел.</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8288</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 миграции населения, на 1 января 2015 года</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прибыло населения</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чел.</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10376</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выбыло населения</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чел.</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7373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сальдо миграции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чел.</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Плотность населения</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пределах селитебной территории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чел/га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Возрастная структура населения:</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дети до 15 лет</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чел</w:t>
            </w: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111,9</w:t>
            </w:r>
            <w:r>
              <w:br/>
            </w:r>
            <w:r>
              <w:rPr>
                <w:rFonts w:ascii="Times New Roman"/>
                <w:b w:val="false"/>
                <w:i w:val="false"/>
                <w:color w:val="000000"/>
                <w:sz w:val="20"/>
              </w:rPr>
              <w:t>
25,5</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120,8</w:t>
            </w:r>
            <w:r>
              <w:br/>
            </w:r>
            <w:r>
              <w:rPr>
                <w:rFonts w:ascii="Times New Roman"/>
                <w:b w:val="false"/>
                <w:i w:val="false"/>
                <w:color w:val="000000"/>
                <w:sz w:val="20"/>
              </w:rPr>
              <w:t>
25,7</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r>
              <w:br/>
            </w:r>
            <w:r>
              <w:rPr>
                <w:rFonts w:ascii="Times New Roman"/>
                <w:b w:val="false"/>
                <w:i w:val="false"/>
                <w:color w:val="000000"/>
                <w:sz w:val="20"/>
              </w:rPr>
              <w:t>
25,6</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население в трудоспособном возрасте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чел</w:t>
            </w: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286,2</w:t>
            </w:r>
            <w:r>
              <w:br/>
            </w:r>
            <w:r>
              <w:rPr>
                <w:rFonts w:ascii="Times New Roman"/>
                <w:b w:val="false"/>
                <w:i w:val="false"/>
                <w:color w:val="000000"/>
                <w:sz w:val="20"/>
              </w:rPr>
              <w:t>
65,2</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304,6</w:t>
            </w:r>
            <w:r>
              <w:br/>
            </w:r>
            <w:r>
              <w:rPr>
                <w:rFonts w:ascii="Times New Roman"/>
                <w:b w:val="false"/>
                <w:i w:val="false"/>
                <w:color w:val="000000"/>
                <w:sz w:val="20"/>
              </w:rPr>
              <w:t>
64,8</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404,4</w:t>
            </w:r>
            <w:r>
              <w:br/>
            </w:r>
            <w:r>
              <w:rPr>
                <w:rFonts w:ascii="Times New Roman"/>
                <w:b w:val="false"/>
                <w:i w:val="false"/>
                <w:color w:val="000000"/>
                <w:sz w:val="20"/>
              </w:rPr>
              <w:t>
64,7</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(мужчины 16-62) года</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чел</w:t>
            </w: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137,9</w:t>
            </w:r>
            <w:r>
              <w:br/>
            </w:r>
            <w:r>
              <w:rPr>
                <w:rFonts w:ascii="Times New Roman"/>
                <w:b w:val="false"/>
                <w:i w:val="false"/>
                <w:color w:val="000000"/>
                <w:sz w:val="20"/>
              </w:rPr>
              <w:t>
31,4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146,7</w:t>
            </w:r>
            <w:r>
              <w:br/>
            </w:r>
            <w:r>
              <w:rPr>
                <w:rFonts w:ascii="Times New Roman"/>
                <w:b w:val="false"/>
                <w:i w:val="false"/>
                <w:color w:val="000000"/>
                <w:sz w:val="20"/>
              </w:rPr>
              <w:t>
31,2</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195,0</w:t>
            </w:r>
            <w:r>
              <w:br/>
            </w:r>
            <w:r>
              <w:rPr>
                <w:rFonts w:ascii="Times New Roman"/>
                <w:b w:val="false"/>
                <w:i w:val="false"/>
                <w:color w:val="000000"/>
                <w:sz w:val="20"/>
              </w:rPr>
              <w:t>
31,2</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женщины (16-57-62) года</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чел</w:t>
            </w: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148,3</w:t>
            </w:r>
            <w:r>
              <w:br/>
            </w:r>
            <w:r>
              <w:rPr>
                <w:rFonts w:ascii="Times New Roman"/>
                <w:b w:val="false"/>
                <w:i w:val="false"/>
                <w:color w:val="000000"/>
                <w:sz w:val="20"/>
              </w:rPr>
              <w:t>
33,8</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157,9</w:t>
            </w:r>
            <w:r>
              <w:br/>
            </w:r>
            <w:r>
              <w:rPr>
                <w:rFonts w:ascii="Times New Roman"/>
                <w:b w:val="false"/>
                <w:i w:val="false"/>
                <w:color w:val="000000"/>
                <w:sz w:val="20"/>
              </w:rPr>
              <w:t>
33,6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209,4</w:t>
            </w:r>
            <w:r>
              <w:br/>
            </w:r>
            <w:r>
              <w:rPr>
                <w:rFonts w:ascii="Times New Roman"/>
                <w:b w:val="false"/>
                <w:i w:val="false"/>
                <w:color w:val="000000"/>
                <w:sz w:val="20"/>
              </w:rPr>
              <w:t>
33,5</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население старше трудоспособного возраста</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чел</w:t>
            </w: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w:t>
            </w:r>
            <w:r>
              <w:br/>
            </w:r>
            <w:r>
              <w:rPr>
                <w:rFonts w:ascii="Times New Roman"/>
                <w:b w:val="false"/>
                <w:i w:val="false"/>
                <w:color w:val="000000"/>
                <w:sz w:val="20"/>
              </w:rPr>
              <w:t>
9,4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44,6</w:t>
            </w:r>
            <w:r>
              <w:br/>
            </w:r>
            <w:r>
              <w:rPr>
                <w:rFonts w:ascii="Times New Roman"/>
                <w:b w:val="false"/>
                <w:i w:val="false"/>
                <w:color w:val="000000"/>
                <w:sz w:val="20"/>
              </w:rPr>
              <w:t>
9,5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60,6</w:t>
            </w:r>
            <w:r>
              <w:br/>
            </w:r>
            <w:r>
              <w:rPr>
                <w:rFonts w:ascii="Times New Roman"/>
                <w:b w:val="false"/>
                <w:i w:val="false"/>
                <w:color w:val="000000"/>
                <w:sz w:val="20"/>
              </w:rPr>
              <w:t>
9,7</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Трудовые ресурсы, всего</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человек</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326,8</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348,3</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462,4</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ТСН - трудоспособное (активное и неактивное) население, всего</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чел.</w:t>
            </w: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326,8</w:t>
            </w:r>
            <w:r>
              <w:br/>
            </w:r>
            <w:r>
              <w:rPr>
                <w:rFonts w:ascii="Times New Roman"/>
                <w:b w:val="false"/>
                <w:i w:val="false"/>
                <w:color w:val="000000"/>
                <w:sz w:val="20"/>
              </w:rPr>
              <w:t>
74,4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348,3</w:t>
            </w:r>
            <w:r>
              <w:br/>
            </w:r>
            <w:r>
              <w:rPr>
                <w:rFonts w:ascii="Times New Roman"/>
                <w:b w:val="false"/>
                <w:i w:val="false"/>
                <w:color w:val="000000"/>
                <w:sz w:val="20"/>
              </w:rPr>
              <w:t>
74,1</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462,4</w:t>
            </w:r>
            <w:r>
              <w:br/>
            </w:r>
            <w:r>
              <w:rPr>
                <w:rFonts w:ascii="Times New Roman"/>
                <w:b w:val="false"/>
                <w:i w:val="false"/>
                <w:color w:val="000000"/>
                <w:sz w:val="20"/>
              </w:rPr>
              <w:t>
74,0</w:t>
            </w:r>
          </w:p>
        </w:tc>
      </w:tr>
      <w:tr>
        <w:trPr>
          <w:trHeight w:val="27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них:</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2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ЭАН - экономически активное население, всего</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чел.</w:t>
            </w:r>
            <w:r>
              <w:br/>
            </w:r>
            <w:r>
              <w:rPr>
                <w:rFonts w:ascii="Times New Roman"/>
                <w:b w:val="false"/>
                <w:i w:val="false"/>
                <w:color w:val="000000"/>
                <w:sz w:val="20"/>
              </w:rPr>
              <w:t>
% от ТСН</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227,3</w:t>
            </w:r>
            <w:r>
              <w:br/>
            </w:r>
            <w:r>
              <w:rPr>
                <w:rFonts w:ascii="Times New Roman"/>
                <w:b w:val="false"/>
                <w:i w:val="false"/>
                <w:color w:val="000000"/>
                <w:sz w:val="20"/>
              </w:rPr>
              <w:t>
69,5</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242,8</w:t>
            </w:r>
            <w:r>
              <w:br/>
            </w:r>
            <w:r>
              <w:rPr>
                <w:rFonts w:ascii="Times New Roman"/>
                <w:b w:val="false"/>
                <w:i w:val="false"/>
                <w:color w:val="000000"/>
                <w:sz w:val="20"/>
              </w:rPr>
              <w:t>
69,7</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323,3</w:t>
            </w:r>
            <w:r>
              <w:br/>
            </w:r>
            <w:r>
              <w:rPr>
                <w:rFonts w:ascii="Times New Roman"/>
                <w:b w:val="false"/>
                <w:i w:val="false"/>
                <w:color w:val="000000"/>
                <w:sz w:val="20"/>
              </w:rPr>
              <w:t>
69,9</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них:</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Занятые в отраслях экономики, всего</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чел.</w:t>
            </w:r>
            <w:r>
              <w:br/>
            </w:r>
            <w:r>
              <w:rPr>
                <w:rFonts w:ascii="Times New Roman"/>
                <w:b w:val="false"/>
                <w:i w:val="false"/>
                <w:color w:val="000000"/>
                <w:sz w:val="20"/>
              </w:rPr>
              <w:t>
% от ЭАН</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215,9</w:t>
            </w:r>
            <w:r>
              <w:br/>
            </w:r>
            <w:r>
              <w:rPr>
                <w:rFonts w:ascii="Times New Roman"/>
                <w:b w:val="false"/>
                <w:i w:val="false"/>
                <w:color w:val="000000"/>
                <w:sz w:val="20"/>
              </w:rPr>
              <w:t>
66,1</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230,9</w:t>
            </w:r>
            <w:r>
              <w:br/>
            </w:r>
            <w:r>
              <w:rPr>
                <w:rFonts w:ascii="Times New Roman"/>
                <w:b w:val="false"/>
                <w:i w:val="false"/>
                <w:color w:val="000000"/>
                <w:sz w:val="20"/>
              </w:rPr>
              <w:t>
66,3</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308,9</w:t>
            </w:r>
            <w:r>
              <w:br/>
            </w:r>
            <w:r>
              <w:rPr>
                <w:rFonts w:ascii="Times New Roman"/>
                <w:b w:val="false"/>
                <w:i w:val="false"/>
                <w:color w:val="000000"/>
                <w:sz w:val="20"/>
              </w:rPr>
              <w:t>
66,8</w:t>
            </w:r>
          </w:p>
        </w:tc>
      </w:tr>
      <w:tr>
        <w:trPr>
          <w:trHeight w:val="60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Безработные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чел.</w:t>
            </w:r>
            <w:r>
              <w:br/>
            </w:r>
            <w:r>
              <w:rPr>
                <w:rFonts w:ascii="Times New Roman"/>
                <w:b w:val="false"/>
                <w:i w:val="false"/>
                <w:color w:val="000000"/>
                <w:sz w:val="20"/>
              </w:rPr>
              <w:t>
% от ЭАН</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r>
              <w:br/>
            </w:r>
            <w:r>
              <w:rPr>
                <w:rFonts w:ascii="Times New Roman"/>
                <w:b w:val="false"/>
                <w:i w:val="false"/>
                <w:color w:val="000000"/>
                <w:sz w:val="20"/>
              </w:rPr>
              <w:t>
5,0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r>
              <w:br/>
            </w:r>
            <w:r>
              <w:rPr>
                <w:rFonts w:ascii="Times New Roman"/>
                <w:b w:val="false"/>
                <w:i w:val="false"/>
                <w:color w:val="000000"/>
                <w:sz w:val="20"/>
              </w:rPr>
              <w:t>
5,5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w:t>
            </w:r>
            <w:r>
              <w:br/>
            </w:r>
            <w:r>
              <w:rPr>
                <w:rFonts w:ascii="Times New Roman"/>
                <w:b w:val="false"/>
                <w:i w:val="false"/>
                <w:color w:val="000000"/>
                <w:sz w:val="20"/>
              </w:rPr>
              <w:t>
5,2</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них, молодежь в возрасте 15-24 года</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чел.</w:t>
            </w:r>
            <w:r>
              <w:br/>
            </w:r>
            <w:r>
              <w:rPr>
                <w:rFonts w:ascii="Times New Roman"/>
                <w:b w:val="false"/>
                <w:i w:val="false"/>
                <w:color w:val="000000"/>
                <w:sz w:val="20"/>
              </w:rPr>
              <w:t>
% от ЭАН</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r>
              <w:br/>
            </w:r>
            <w:r>
              <w:rPr>
                <w:rFonts w:ascii="Times New Roman"/>
                <w:b w:val="false"/>
                <w:i w:val="false"/>
                <w:color w:val="000000"/>
                <w:sz w:val="20"/>
              </w:rPr>
              <w:t>
1,5</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r>
              <w:br/>
            </w:r>
            <w:r>
              <w:rPr>
                <w:rFonts w:ascii="Times New Roman"/>
                <w:b w:val="false"/>
                <w:i w:val="false"/>
                <w:color w:val="000000"/>
                <w:sz w:val="20"/>
              </w:rPr>
              <w:t>
1,6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r>
              <w:br/>
            </w:r>
            <w:r>
              <w:rPr>
                <w:rFonts w:ascii="Times New Roman"/>
                <w:b w:val="false"/>
                <w:i w:val="false"/>
                <w:color w:val="000000"/>
                <w:sz w:val="20"/>
              </w:rPr>
              <w:t>
1,5</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Экономически неактивное население, всего</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чел.</w:t>
            </w:r>
            <w:r>
              <w:br/>
            </w:r>
            <w:r>
              <w:rPr>
                <w:rFonts w:ascii="Times New Roman"/>
                <w:b w:val="false"/>
                <w:i w:val="false"/>
                <w:color w:val="000000"/>
                <w:sz w:val="20"/>
              </w:rPr>
              <w:t>
% от ТСН</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99,5</w:t>
            </w:r>
            <w:r>
              <w:br/>
            </w:r>
            <w:r>
              <w:rPr>
                <w:rFonts w:ascii="Times New Roman"/>
                <w:b w:val="false"/>
                <w:i w:val="false"/>
                <w:color w:val="000000"/>
                <w:sz w:val="20"/>
              </w:rPr>
              <w:t>
30,5</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r>
              <w:br/>
            </w:r>
            <w:r>
              <w:rPr>
                <w:rFonts w:ascii="Times New Roman"/>
                <w:b w:val="false"/>
                <w:i w:val="false"/>
                <w:color w:val="000000"/>
                <w:sz w:val="20"/>
              </w:rPr>
              <w:t>
30,3</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139,2</w:t>
            </w:r>
            <w:r>
              <w:br/>
            </w:r>
            <w:r>
              <w:rPr>
                <w:rFonts w:ascii="Times New Roman"/>
                <w:b w:val="false"/>
                <w:i w:val="false"/>
                <w:color w:val="000000"/>
                <w:sz w:val="20"/>
              </w:rPr>
              <w:t>
30,1</w:t>
            </w:r>
          </w:p>
        </w:tc>
      </w:tr>
      <w:tr>
        <w:trPr>
          <w:trHeight w:val="28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Жилищное строительство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00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Жилищный фонд, всего</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2</w:t>
            </w:r>
            <w:r>
              <w:rPr>
                <w:rFonts w:ascii="Times New Roman"/>
                <w:b w:val="false"/>
                <w:i w:val="false"/>
                <w:color w:val="000000"/>
                <w:sz w:val="20"/>
              </w:rPr>
              <w:t xml:space="preserve"> об.плoщ.</w:t>
            </w:r>
            <w:r>
              <w:br/>
            </w:r>
            <w:r>
              <w:rPr>
                <w:rFonts w:ascii="Times New Roman"/>
                <w:b w:val="false"/>
                <w:i w:val="false"/>
                <w:color w:val="000000"/>
                <w:sz w:val="20"/>
              </w:rPr>
              <w:t xml:space="preserve">
%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7719,9</w:t>
            </w:r>
            <w:r>
              <w:br/>
            </w:r>
            <w:r>
              <w:rPr>
                <w:rFonts w:ascii="Times New Roman"/>
                <w:b w:val="false"/>
                <w:i w:val="false"/>
                <w:color w:val="000000"/>
                <w:sz w:val="20"/>
              </w:rPr>
              <w:t>
100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9870,0</w:t>
            </w:r>
            <w:r>
              <w:br/>
            </w:r>
            <w:r>
              <w:rPr>
                <w:rFonts w:ascii="Times New Roman"/>
                <w:b w:val="false"/>
                <w:i w:val="false"/>
                <w:color w:val="000000"/>
                <w:sz w:val="20"/>
              </w:rPr>
              <w:t>
100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15625,0</w:t>
            </w:r>
            <w:r>
              <w:br/>
            </w:r>
            <w:r>
              <w:rPr>
                <w:rFonts w:ascii="Times New Roman"/>
                <w:b w:val="false"/>
                <w:i w:val="false"/>
                <w:color w:val="000000"/>
                <w:sz w:val="20"/>
              </w:rPr>
              <w:t>
100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государственный фонд*</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 xml:space="preserve">2 </w:t>
            </w:r>
            <w:r>
              <w:rPr>
                <w:rFonts w:ascii="Times New Roman"/>
                <w:b w:val="false"/>
                <w:i w:val="false"/>
                <w:color w:val="000000"/>
                <w:sz w:val="20"/>
              </w:rPr>
              <w:t>об.плoщ.</w:t>
            </w: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266,7/3,5</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378,0/3,8</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620,0/4,0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частной собственности*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 xml:space="preserve">2 </w:t>
            </w:r>
            <w:r>
              <w:rPr>
                <w:rFonts w:ascii="Times New Roman"/>
                <w:b w:val="false"/>
                <w:i w:val="false"/>
                <w:color w:val="000000"/>
                <w:sz w:val="20"/>
              </w:rPr>
              <w:t>об.плoщ.</w:t>
            </w: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7453,2/96,5</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9492,0/96,2</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15005,0/96,0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общего фонда:</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многоквартирных домах</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 xml:space="preserve">2 </w:t>
            </w:r>
            <w:r>
              <w:rPr>
                <w:rFonts w:ascii="Times New Roman"/>
                <w:b w:val="false"/>
                <w:i w:val="false"/>
                <w:color w:val="000000"/>
                <w:sz w:val="20"/>
              </w:rPr>
              <w:t>об.плoщ.</w:t>
            </w: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5204,4/ 67,4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7138,3/72,3</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12875,1/82,4</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домах усадебного типа</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 xml:space="preserve">2 </w:t>
            </w:r>
            <w:r>
              <w:rPr>
                <w:rFonts w:ascii="Times New Roman"/>
                <w:b w:val="false"/>
                <w:i w:val="false"/>
                <w:color w:val="000000"/>
                <w:sz w:val="20"/>
              </w:rPr>
              <w:t>об.плoщ.</w:t>
            </w: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2515,5/ 32,6</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2731,7/27,7</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2749,9/ 17,6</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Сохраняемый жилищный фонд, всего</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 xml:space="preserve">2 </w:t>
            </w:r>
            <w:r>
              <w:rPr>
                <w:rFonts w:ascii="Times New Roman"/>
                <w:b w:val="false"/>
                <w:i w:val="false"/>
                <w:color w:val="000000"/>
                <w:sz w:val="20"/>
              </w:rPr>
              <w:t>об.плoщ.</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7719,9</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7596,1</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9870,0</w:t>
            </w:r>
          </w:p>
        </w:tc>
      </w:tr>
      <w:tr>
        <w:trPr>
          <w:trHeight w:val="52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Распределение жилищного фонда по этажности: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Усадебный (коттеджного типа)</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2</w:t>
            </w:r>
            <w:r>
              <w:rPr>
                <w:rFonts w:ascii="Times New Roman"/>
                <w:b w:val="false"/>
                <w:i w:val="false"/>
                <w:color w:val="000000"/>
                <w:sz w:val="20"/>
              </w:rPr>
              <w:t xml:space="preserve"> /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2515,5 / 32,6</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2380,7 /31,3</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2731,7 /27,7</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Малоэтажный (2-3 этажный) многоквартирный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2</w:t>
            </w:r>
            <w:r>
              <w:rPr>
                <w:rFonts w:ascii="Times New Roman"/>
                <w:b w:val="false"/>
                <w:i w:val="false"/>
                <w:color w:val="000000"/>
                <w:sz w:val="20"/>
              </w:rPr>
              <w:t xml:space="preserve"> /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452,4/ 5,9</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452,7 /6,0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452,7/ 4,6</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Среднеэтажный (4-5 этажный) многоквартирный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2</w:t>
            </w:r>
            <w:r>
              <w:rPr>
                <w:rFonts w:ascii="Times New Roman"/>
                <w:b w:val="false"/>
                <w:i w:val="false"/>
                <w:color w:val="000000"/>
                <w:sz w:val="20"/>
              </w:rPr>
              <w:t xml:space="preserve"> /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2312,4 / 29,9</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2323,0 /30,6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3701,4/ 37,5</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Многоэтажный многоквартирный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2</w:t>
            </w:r>
            <w:r>
              <w:rPr>
                <w:rFonts w:ascii="Times New Roman"/>
                <w:b w:val="false"/>
                <w:i w:val="false"/>
                <w:color w:val="000000"/>
                <w:sz w:val="20"/>
              </w:rPr>
              <w:t xml:space="preserve"> /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2439,6 / 31,6</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2439,6 /32,1</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2984,2 / 30,2</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Убыль жилищного фонда, всего</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2</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287,8</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техническому состоянию и реконструкции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2</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другим причинам (вынос жилищного фонда из промзоны)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2</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Убыль жилищного фонда по отношению:</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существующему жилому фонду</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новому строительству</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81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Новое жилищное строительство, всего:</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2</w:t>
            </w:r>
            <w:r>
              <w:rPr>
                <w:rFonts w:ascii="Times New Roman"/>
                <w:b w:val="false"/>
                <w:i w:val="false"/>
                <w:color w:val="000000"/>
                <w:sz w:val="20"/>
              </w:rPr>
              <w:t xml:space="preserve"> общей площади</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2273,9</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5755,0</w:t>
            </w:r>
          </w:p>
        </w:tc>
      </w:tr>
      <w:tr>
        <w:trPr>
          <w:trHeight w:val="76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Структура нового жилищного строительства по этажности: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2</w:t>
            </w:r>
            <w:r>
              <w:rPr>
                <w:rFonts w:ascii="Times New Roman"/>
                <w:b w:val="false"/>
                <w:i w:val="false"/>
                <w:color w:val="000000"/>
                <w:sz w:val="20"/>
              </w:rPr>
              <w:t xml:space="preserve"> общей площади</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Усадебный (коттеджного типа)</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2</w:t>
            </w:r>
            <w:r>
              <w:rPr>
                <w:rFonts w:ascii="Times New Roman"/>
                <w:b w:val="false"/>
                <w:i w:val="false"/>
                <w:color w:val="000000"/>
                <w:sz w:val="20"/>
              </w:rPr>
              <w:t xml:space="preserve"> общей площади</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350,9</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Малоэтажный (1-3 этажный) многоквартирный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2</w:t>
            </w:r>
            <w:r>
              <w:rPr>
                <w:rFonts w:ascii="Times New Roman"/>
                <w:b w:val="false"/>
                <w:i w:val="false"/>
                <w:color w:val="000000"/>
                <w:sz w:val="20"/>
              </w:rPr>
              <w:t xml:space="preserve"> общей площади</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Среднеэтажный (4-5 этажный) многоквартирный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2</w:t>
            </w:r>
            <w:r>
              <w:rPr>
                <w:rFonts w:ascii="Times New Roman"/>
                <w:b w:val="false"/>
                <w:i w:val="false"/>
                <w:color w:val="000000"/>
                <w:sz w:val="20"/>
              </w:rPr>
              <w:t xml:space="preserve"> общей площади</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1378,4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5060,2</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Многоэтажный многоквартирный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2</w:t>
            </w:r>
            <w:r>
              <w:rPr>
                <w:rFonts w:ascii="Times New Roman"/>
                <w:b w:val="false"/>
                <w:i w:val="false"/>
                <w:color w:val="000000"/>
                <w:sz w:val="20"/>
              </w:rPr>
              <w:t xml:space="preserve"> общей площади</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544,6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676,6</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общего объема нового жилищного строительства размещается:</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свободных территориях</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2</w:t>
            </w:r>
            <w:r>
              <w:rPr>
                <w:rFonts w:ascii="Times New Roman"/>
                <w:b w:val="false"/>
                <w:i w:val="false"/>
                <w:color w:val="000000"/>
                <w:sz w:val="20"/>
              </w:rPr>
              <w:t xml:space="preserve"> общей площади</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1426,3</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4407,7</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 счет реконструкции существующей застройки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2</w:t>
            </w:r>
            <w:r>
              <w:rPr>
                <w:rFonts w:ascii="Times New Roman"/>
                <w:b w:val="false"/>
                <w:i w:val="false"/>
                <w:color w:val="000000"/>
                <w:sz w:val="20"/>
              </w:rPr>
              <w:t xml:space="preserve"> общей площади</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847,6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1347,3</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Ввод общей площади нового жилищного фонда в среднем за год</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2</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454,8</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575,5</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Обеспеченность жилищного фонда:</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1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водопроводом</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общего жилфонда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99,5</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электричеством</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общего жилфонда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газом</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общего жилфонда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99,2</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теплом</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общего жилфонда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66,8</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горячей водой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общего жилфонда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67,8</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 обеспеченность населения общей площадью</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r>
              <w:rPr>
                <w:rFonts w:ascii="Times New Roman"/>
                <w:b w:val="false"/>
                <w:i w:val="false"/>
                <w:color w:val="000000"/>
                <w:vertAlign w:val="superscript"/>
              </w:rPr>
              <w:t>2</w:t>
            </w:r>
            <w:r>
              <w:rPr>
                <w:rFonts w:ascii="Times New Roman"/>
                <w:b w:val="false"/>
                <w:i w:val="false"/>
                <w:color w:val="000000"/>
                <w:sz w:val="20"/>
              </w:rPr>
              <w:t>/чел.</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Объекты социального и культурно- бытового обслуживания</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Детские дошкольные учреждения, всего/на 1000 человек</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15054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22394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56844</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уровень обеспеченности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64,2</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1000 жителей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новое строительство</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7340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34450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Общеобразовательные учреждения, всего/на 1000 человек</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48199</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60008</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86719</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уровень обеспеченности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91,8</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1000 человек</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новое строительство</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11809</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26711</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Больницы, всего/на 1000 человек</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коек</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3396/8,4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3956/8,8</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5913/9,4</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Поликлиники, всего/на 1000 человек</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посещен. / в смену</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7862/19,6</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9173/20,3</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21875/35</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Учреждения социального обеспечения (дома -интернаты) - всего/1000 человек</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Дома-интернаты для престарелых, ветеранов труда и войны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310/0,8</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710/1,5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2498/4,0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Дома-интернаты для взрослых инвалидов с физическими нарушениями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411/0,7</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Детские дома-интернаты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450/1,1</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450/1</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640/1,0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Психоневрологические интернаты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360/0,9</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860/1,9</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2072/3,3</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Учреждения длительного отдыха</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Санатории-профилактории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Дома отдыха, пансионаты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Лагеря отдыха для детей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Базы отдыха</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Туристические базы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Мотели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Кемпинги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Физкультурно-спортивные сооружения - всего/1000 человек</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6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Помещения для физкультурно-оздоровительных занятий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r>
              <w:rPr>
                <w:rFonts w:ascii="Times New Roman"/>
                <w:b w:val="false"/>
                <w:i w:val="false"/>
                <w:color w:val="000000"/>
                <w:vertAlign w:val="superscript"/>
              </w:rPr>
              <w:t>2</w:t>
            </w:r>
            <w:r>
              <w:rPr>
                <w:rFonts w:ascii="Times New Roman"/>
                <w:b w:val="false"/>
                <w:i w:val="false"/>
                <w:color w:val="000000"/>
                <w:sz w:val="20"/>
              </w:rPr>
              <w:t xml:space="preserve"> площади пола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7825/19,5</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19617/43,6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43750/70</w:t>
            </w:r>
          </w:p>
        </w:tc>
      </w:tr>
      <w:tr>
        <w:trPr>
          <w:trHeight w:val="76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Спортивные залы общего пользования</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r>
              <w:rPr>
                <w:rFonts w:ascii="Times New Roman"/>
                <w:b w:val="false"/>
                <w:i w:val="false"/>
                <w:color w:val="000000"/>
                <w:vertAlign w:val="superscript"/>
              </w:rPr>
              <w:t>2</w:t>
            </w:r>
            <w:r>
              <w:rPr>
                <w:rFonts w:ascii="Times New Roman"/>
                <w:b w:val="false"/>
                <w:i w:val="false"/>
                <w:color w:val="000000"/>
                <w:sz w:val="20"/>
              </w:rPr>
              <w:t xml:space="preserve"> площади пола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20193/50,3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26163/58,1</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43750/70</w:t>
            </w:r>
          </w:p>
        </w:tc>
      </w:tr>
      <w:tr>
        <w:trPr>
          <w:trHeight w:val="76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Бассейны крытые и открытые общего пользования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r>
              <w:rPr>
                <w:rFonts w:ascii="Times New Roman"/>
                <w:b w:val="false"/>
                <w:i w:val="false"/>
                <w:color w:val="000000"/>
                <w:vertAlign w:val="superscript"/>
              </w:rPr>
              <w:t>2</w:t>
            </w:r>
            <w:r>
              <w:rPr>
                <w:rFonts w:ascii="Times New Roman"/>
                <w:b w:val="false"/>
                <w:i w:val="false"/>
                <w:color w:val="000000"/>
                <w:sz w:val="20"/>
              </w:rPr>
              <w:t xml:space="preserve"> зеркала воды</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5205/13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7830/17,4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13750/22</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Зрелищно-культурные учреждения, всего /на 1000 человек</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Дом культуры, клубы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1088/2,7</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17828/39,6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50000/80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Кинотеатры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1366/3,4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5606/12,4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15625/25</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Театры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580/1,4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1580/3,5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3750/6</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Концертные залы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400/1,0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1187/2,6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2188/3,5</w:t>
            </w:r>
          </w:p>
        </w:tc>
      </w:tr>
      <w:tr>
        <w:trPr>
          <w:trHeight w:val="76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Предприятия торговли всего/на 1000 человек</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r>
              <w:rPr>
                <w:rFonts w:ascii="Times New Roman"/>
                <w:b w:val="false"/>
                <w:i w:val="false"/>
                <w:color w:val="000000"/>
                <w:vertAlign w:val="superscript"/>
              </w:rPr>
              <w:t>2</w:t>
            </w:r>
            <w:r>
              <w:rPr>
                <w:rFonts w:ascii="Times New Roman"/>
                <w:b w:val="false"/>
                <w:i w:val="false"/>
                <w:color w:val="000000"/>
                <w:sz w:val="20"/>
              </w:rPr>
              <w:t xml:space="preserve"> торговой площади</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106661/266</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120248/267,2</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181914/290</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Предприятия общественного питания, всего/на 1000 человек</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посадочное место</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11535/28,7</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16426/36,5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27073/43</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Предприятия бытового обслуживания, всего/на 1000 чел.</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рабочих мест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4505/11,2</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5211/11,6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8481/13,5</w:t>
            </w:r>
          </w:p>
        </w:tc>
      </w:tr>
      <w:tr>
        <w:trPr>
          <w:trHeight w:val="300" w:hRule="atLeast"/>
        </w:trPr>
        <w:tc>
          <w:tcPr>
            <w:tcW w:w="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Пожарное депо</w:t>
            </w:r>
          </w:p>
        </w:tc>
        <w:tc>
          <w:tcPr>
            <w:tcW w:w="16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кол-во автомобилей/ постов</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Транспортное обеспечение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Протяженность линий пассажирского общественного транспорта, всего</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163,27</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232,92</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362,86</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автобус</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163,27</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69,65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129,94</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Протяженность улиц и дорог, всего</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425,13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611,17</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1166,54</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дорог скоростного движения</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54,04</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Магистральные улицы общегородского значения регулируемого движения</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192,21</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47,77</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Магистральные улицы районного значения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77,9</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184,56</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жилые улицы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поселковые дороги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промышленные дороги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5,06</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Внешний транспорт, в том числе: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Железнодорожный</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грузов</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тонн/год</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1 822,82</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2 005,10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2 187,40</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5.3.2.</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воздушный</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пассажиров</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пасс./год</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321,8</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788,4</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грузов</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тонн/год</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0,963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1,881</w:t>
            </w:r>
          </w:p>
        </w:tc>
      </w:tr>
      <w:tr>
        <w:trPr>
          <w:trHeight w:val="300" w:hRule="atLeast"/>
        </w:trPr>
        <w:tc>
          <w:tcPr>
            <w:tcW w:w="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5.3.3.</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Автомобильный,</w:t>
            </w:r>
          </w:p>
        </w:tc>
        <w:tc>
          <w:tcPr>
            <w:tcW w:w="12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33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пассажиров</w:t>
            </w:r>
          </w:p>
        </w:tc>
        <w:tc>
          <w:tcPr>
            <w:tcW w:w="16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пасс./год</w:t>
            </w:r>
          </w:p>
        </w:tc>
        <w:tc>
          <w:tcPr>
            <w:tcW w:w="14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895,5</w:t>
            </w:r>
          </w:p>
        </w:tc>
        <w:tc>
          <w:tcPr>
            <w:tcW w:w="1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1410</w:t>
            </w:r>
          </w:p>
        </w:tc>
        <w:tc>
          <w:tcPr>
            <w:tcW w:w="1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r>
      <w:tr>
        <w:trPr>
          <w:trHeight w:val="315" w:hRule="atLeast"/>
        </w:trPr>
        <w:tc>
          <w:tcPr>
            <w:tcW w:w="0" w:type="auto"/>
            <w:vMerge/>
            <w:tcBorders>
              <w:top w:val="nil"/>
              <w:left w:val="single" w:color="cfcfcf" w:sz="5"/>
              <w:bottom w:val="single" w:color="cfcfcf" w:sz="5"/>
              <w:right w:val="single" w:color="cfcfcf" w:sz="5"/>
            </w:tcBorders>
          </w:tcP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Пассажирский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Трубопроводный</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грузов</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куб. м/год</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5250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Плотность улично-дорожной сети в пределах городской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 /км</w:t>
            </w:r>
            <w:r>
              <w:rPr>
                <w:rFonts w:ascii="Times New Roman"/>
                <w:b w:val="false"/>
                <w:i w:val="false"/>
                <w:color w:val="000000"/>
                <w:vertAlign w:val="superscript"/>
              </w:rPr>
              <w:t>2</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Инженерное оборудование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Водоснабжение: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2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Суммарное потребление, всего</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3</w:t>
            </w:r>
            <w:r>
              <w:rPr>
                <w:rFonts w:ascii="Times New Roman"/>
                <w:b w:val="false"/>
                <w:i w:val="false"/>
                <w:color w:val="000000"/>
                <w:sz w:val="20"/>
              </w:rPr>
              <w:t>/сут.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80,11</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117, 9</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157,82</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(максимально суточный расход)</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3</w:t>
            </w:r>
            <w:r>
              <w:rPr>
                <w:rFonts w:ascii="Times New Roman"/>
                <w:b w:val="false"/>
                <w:i w:val="false"/>
                <w:color w:val="000000"/>
                <w:sz w:val="20"/>
              </w:rPr>
              <w:t>/сут.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127,62</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171,54</w:t>
            </w:r>
          </w:p>
        </w:tc>
      </w:tr>
      <w:tr>
        <w:trPr>
          <w:trHeight w:val="28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хозяйственно-питьевые нужды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3</w:t>
            </w:r>
            <w:r>
              <w:rPr>
                <w:rFonts w:ascii="Times New Roman"/>
                <w:b w:val="false"/>
                <w:i w:val="false"/>
                <w:color w:val="000000"/>
                <w:sz w:val="20"/>
              </w:rPr>
              <w:t>/сут.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47,26</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57,74 хол. вода</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79,75 хол. вода</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производственные нужды (с учетом приготовления горячей воды)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3</w:t>
            </w:r>
            <w:r>
              <w:rPr>
                <w:rFonts w:ascii="Times New Roman"/>
                <w:b w:val="false"/>
                <w:i w:val="false"/>
                <w:color w:val="000000"/>
                <w:sz w:val="20"/>
              </w:rPr>
              <w:t>/сут.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32,85</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59,16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78,67</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Мощность головных сооружений водопровода ВОС</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3</w:t>
            </w:r>
            <w:r>
              <w:rPr>
                <w:rFonts w:ascii="Times New Roman"/>
                <w:b w:val="false"/>
                <w:i w:val="false"/>
                <w:color w:val="000000"/>
                <w:sz w:val="20"/>
              </w:rPr>
              <w:t>/сут.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Используемые источники водоснабжения: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Подземные водозаборы (проект)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3</w:t>
            </w:r>
            <w:r>
              <w:rPr>
                <w:rFonts w:ascii="Times New Roman"/>
                <w:b w:val="false"/>
                <w:i w:val="false"/>
                <w:color w:val="000000"/>
                <w:sz w:val="20"/>
              </w:rPr>
              <w:t>/сут.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Верхнекаргалинский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Илекский водозабор (правобережный и левобережный)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3</w:t>
            </w:r>
            <w:r>
              <w:rPr>
                <w:rFonts w:ascii="Times New Roman"/>
                <w:b w:val="false"/>
                <w:i w:val="false"/>
                <w:color w:val="000000"/>
                <w:sz w:val="20"/>
              </w:rPr>
              <w:t>/сут.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Тамдинский водозабор</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3</w:t>
            </w:r>
            <w:r>
              <w:rPr>
                <w:rFonts w:ascii="Times New Roman"/>
                <w:b w:val="false"/>
                <w:i w:val="false"/>
                <w:color w:val="000000"/>
                <w:sz w:val="20"/>
              </w:rPr>
              <w:t>/сут.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Кундактыкырский водозабор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3</w:t>
            </w:r>
            <w:r>
              <w:rPr>
                <w:rFonts w:ascii="Times New Roman"/>
                <w:b w:val="false"/>
                <w:i w:val="false"/>
                <w:color w:val="000000"/>
                <w:sz w:val="20"/>
              </w:rPr>
              <w:t>/сут.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водозабор из поверхностных источников</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3</w:t>
            </w:r>
            <w:r>
              <w:rPr>
                <w:rFonts w:ascii="Times New Roman"/>
                <w:b w:val="false"/>
                <w:i w:val="false"/>
                <w:color w:val="000000"/>
                <w:sz w:val="20"/>
              </w:rPr>
              <w:t>/сут.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децентрализованные водоисточники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3</w:t>
            </w:r>
            <w:r>
              <w:rPr>
                <w:rFonts w:ascii="Times New Roman"/>
                <w:b w:val="false"/>
                <w:i w:val="false"/>
                <w:color w:val="000000"/>
                <w:sz w:val="20"/>
              </w:rPr>
              <w:t>/сут.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18,72</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18,72</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18,72</w:t>
            </w:r>
          </w:p>
        </w:tc>
      </w:tr>
      <w:tr>
        <w:trPr>
          <w:trHeight w:val="51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Утвержденные запасы подземных вод ГКЗ</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3</w:t>
            </w:r>
            <w:r>
              <w:rPr>
                <w:rFonts w:ascii="Times New Roman"/>
                <w:b w:val="false"/>
                <w:i w:val="false"/>
                <w:color w:val="000000"/>
                <w:sz w:val="20"/>
              </w:rPr>
              <w:t>/сут.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96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Верхнекаргалинское (эксплуатируется)</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3</w:t>
            </w:r>
            <w:r>
              <w:rPr>
                <w:rFonts w:ascii="Times New Roman"/>
                <w:b w:val="false"/>
                <w:i w:val="false"/>
                <w:color w:val="000000"/>
                <w:sz w:val="20"/>
              </w:rPr>
              <w:t>/сут.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52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Кундактыкырское (эксплуатируется)</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3</w:t>
            </w:r>
            <w:r>
              <w:rPr>
                <w:rFonts w:ascii="Times New Roman"/>
                <w:b w:val="false"/>
                <w:i w:val="false"/>
                <w:color w:val="000000"/>
                <w:sz w:val="20"/>
              </w:rPr>
              <w:t>/сут.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w:t>
            </w:r>
          </w:p>
        </w:tc>
      </w:tr>
      <w:tr>
        <w:trPr>
          <w:trHeight w:val="52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Илекское левобережное и правобережное (эксплуатируется)</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3</w:t>
            </w:r>
            <w:r>
              <w:rPr>
                <w:rFonts w:ascii="Times New Roman"/>
                <w:b w:val="false"/>
                <w:i w:val="false"/>
                <w:color w:val="000000"/>
                <w:sz w:val="20"/>
              </w:rPr>
              <w:t>/сут.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52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Тамдинское (эксплуатируется)</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3</w:t>
            </w:r>
            <w:r>
              <w:rPr>
                <w:rFonts w:ascii="Times New Roman"/>
                <w:b w:val="false"/>
                <w:i w:val="false"/>
                <w:color w:val="000000"/>
                <w:sz w:val="20"/>
              </w:rPr>
              <w:t>/сут.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15" w:hRule="atLeast"/>
        </w:trPr>
        <w:tc>
          <w:tcPr>
            <w:tcW w:w="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6.1.5.</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Водопотребление в среднем на 1 человека в сутки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3</w:t>
            </w:r>
            <w:r>
              <w:rPr>
                <w:rFonts w:ascii="Times New Roman"/>
                <w:b w:val="false"/>
                <w:i w:val="false"/>
                <w:color w:val="000000"/>
                <w:sz w:val="20"/>
              </w:rPr>
              <w:t>/сут.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191,2</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250,85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252,51</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3</w:t>
            </w:r>
            <w:r>
              <w:rPr>
                <w:rFonts w:ascii="Times New Roman"/>
                <w:b w:val="false"/>
                <w:i w:val="false"/>
                <w:color w:val="000000"/>
                <w:sz w:val="20"/>
              </w:rPr>
              <w:t>/сут.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117,9</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157,82</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хозяйственно-питьевые нужды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3</w:t>
            </w:r>
            <w:r>
              <w:rPr>
                <w:rFonts w:ascii="Times New Roman"/>
                <w:b w:val="false"/>
                <w:i w:val="false"/>
                <w:color w:val="000000"/>
                <w:sz w:val="20"/>
              </w:rPr>
              <w:t>/сут.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112,8 хол. вода</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124,98 хол.вода 187,7 с гор.водой</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127,6 хол.вода197,7 с гор. водой</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Протяженность сетей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922,7</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34,8</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Канализация:</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кВт.час</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2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Общее поступление сточных вод, всего</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3</w:t>
            </w:r>
            <w:r>
              <w:rPr>
                <w:rFonts w:ascii="Times New Roman"/>
                <w:b w:val="false"/>
                <w:i w:val="false"/>
                <w:color w:val="000000"/>
                <w:sz w:val="20"/>
              </w:rPr>
              <w:t>/сут.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43,504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102,83</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139,6</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1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бытовая канализация</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3</w:t>
            </w:r>
            <w:r>
              <w:rPr>
                <w:rFonts w:ascii="Times New Roman"/>
                <w:b w:val="false"/>
                <w:i w:val="false"/>
                <w:color w:val="000000"/>
                <w:sz w:val="20"/>
              </w:rPr>
              <w:t>/сут.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84,21</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118,09</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Производственная канализация</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3</w:t>
            </w:r>
            <w:r>
              <w:rPr>
                <w:rFonts w:ascii="Times New Roman"/>
                <w:b w:val="false"/>
                <w:i w:val="false"/>
                <w:color w:val="000000"/>
                <w:sz w:val="20"/>
              </w:rPr>
              <w:t>/сут.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6,359</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18,62</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21,51</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Производительность канализационных очистных сооружений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м</w:t>
            </w:r>
            <w:r>
              <w:rPr>
                <w:rFonts w:ascii="Times New Roman"/>
                <w:b w:val="false"/>
                <w:i w:val="false"/>
                <w:color w:val="000000"/>
                <w:vertAlign w:val="superscript"/>
              </w:rPr>
              <w:t>3</w:t>
            </w:r>
            <w:r>
              <w:rPr>
                <w:rFonts w:ascii="Times New Roman"/>
                <w:b w:val="false"/>
                <w:i w:val="false"/>
                <w:color w:val="000000"/>
                <w:sz w:val="20"/>
              </w:rPr>
              <w:t>/сут.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139,6</w:t>
            </w:r>
          </w:p>
        </w:tc>
      </w:tr>
      <w:tr>
        <w:trPr>
          <w:trHeight w:val="30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Протяженность сетей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494,2</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Электроснабжение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суммарное потребление электроэнергии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кВт·час</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2597</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коммунально-бытовые нужды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кВт·час</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606</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производственные нужды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кВт·час</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1456</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2954</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электропотребление в среднем на 1 человека в год</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кВт·час</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том числе на коммунально-бытовые нужды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кВт·час</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источники покрытия нагрузок,</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кВт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ТЭЦ, ГРЭС</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кВт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гидроэлектростанция</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кВт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объединенная энергосеть</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кВт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817</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протяженность сетей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н/д</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н/д</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н/д</w:t>
            </w:r>
          </w:p>
        </w:tc>
      </w:tr>
      <w:tr>
        <w:trPr>
          <w:trHeight w:val="34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Теплоснабжение: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МВТ</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Общий расход тепла в горячей воде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Гкал/ч</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1 433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1 594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2 025</w:t>
            </w:r>
          </w:p>
        </w:tc>
      </w:tr>
      <w:tr>
        <w:trPr>
          <w:trHeight w:val="28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Потребление на отопление, всего, в том числе: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Гкал/ч</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1 317</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1 484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1 837</w:t>
            </w:r>
          </w:p>
        </w:tc>
      </w:tr>
      <w:tr>
        <w:trPr>
          <w:trHeight w:val="27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коммунально-бытовые нужды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Гкал/ч</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1 211</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1 354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1 674</w:t>
            </w:r>
          </w:p>
        </w:tc>
      </w:tr>
      <w:tr>
        <w:trPr>
          <w:trHeight w:val="28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производственные нужды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Гкал/ч</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w:t>
            </w:r>
          </w:p>
        </w:tc>
      </w:tr>
      <w:tr>
        <w:trPr>
          <w:trHeight w:val="27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Потребление на горячее водоснабжение, всего, в том числе: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Гкал/ч</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r>
      <w:tr>
        <w:trPr>
          <w:trHeight w:val="28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коммунально-бытовые нужды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Гкал/ч</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w:t>
            </w:r>
          </w:p>
        </w:tc>
      </w:tr>
      <w:tr>
        <w:trPr>
          <w:trHeight w:val="27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производственные нужды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Гкал/ч</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 на производственные нужды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т/ч</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Производительность локальных источников теплоснабжения</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т/ч</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1 004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1 170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Протяженность магистральных тепловых сетей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r>
      <w:tr>
        <w:trPr>
          <w:trHeight w:val="30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Газоснабжение: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2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Расход природного газа, всего</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м</w:t>
            </w:r>
            <w:r>
              <w:rPr>
                <w:rFonts w:ascii="Times New Roman"/>
                <w:b w:val="false"/>
                <w:i w:val="false"/>
                <w:color w:val="000000"/>
                <w:vertAlign w:val="superscript"/>
              </w:rPr>
              <w:t>3</w:t>
            </w:r>
            <w:r>
              <w:rPr>
                <w:rFonts w:ascii="Times New Roman"/>
                <w:b w:val="false"/>
                <w:i w:val="false"/>
                <w:color w:val="000000"/>
                <w:sz w:val="20"/>
              </w:rPr>
              <w:t>/год</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113.8</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167,7</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коммунально-бытовые нужды**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м</w:t>
            </w:r>
            <w:r>
              <w:rPr>
                <w:rFonts w:ascii="Times New Roman"/>
                <w:b w:val="false"/>
                <w:i w:val="false"/>
                <w:color w:val="000000"/>
                <w:vertAlign w:val="superscript"/>
              </w:rPr>
              <w:t>3</w:t>
            </w:r>
            <w:r>
              <w:rPr>
                <w:rFonts w:ascii="Times New Roman"/>
                <w:b w:val="false"/>
                <w:i w:val="false"/>
                <w:color w:val="000000"/>
                <w:sz w:val="20"/>
              </w:rPr>
              <w:t>/год</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производственные нужды**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м</w:t>
            </w:r>
            <w:r>
              <w:rPr>
                <w:rFonts w:ascii="Times New Roman"/>
                <w:b w:val="false"/>
                <w:i w:val="false"/>
                <w:color w:val="000000"/>
                <w:vertAlign w:val="superscript"/>
              </w:rPr>
              <w:t>3</w:t>
            </w:r>
            <w:r>
              <w:rPr>
                <w:rFonts w:ascii="Times New Roman"/>
                <w:b w:val="false"/>
                <w:i w:val="false"/>
                <w:color w:val="000000"/>
                <w:sz w:val="20"/>
              </w:rPr>
              <w:t>/год</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Расход сжиженного газа, всего</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тонн/ год</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коммунально-бытовые нужды**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тонн/ год</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производственные нужды**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тонн/ год</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Связь:</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5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Охват населения телевизионным вещанием</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населения</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58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Обеспеченность населения телефонной сетью общего пользования</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номеров всего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104677</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142139</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197346</w:t>
            </w:r>
          </w:p>
        </w:tc>
      </w:tr>
      <w:tr>
        <w:trPr>
          <w:trHeight w:val="28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Инженерная подготовка территории </w:t>
            </w:r>
          </w:p>
        </w:tc>
      </w:tr>
      <w:tr>
        <w:trPr>
          <w:trHeight w:val="46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Общая протяженность ливневой канализации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27,36</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49,7</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r>
      <w:tr>
        <w:trPr>
          <w:trHeight w:val="48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Защита территории от затопления:</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9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площадь</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55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протяженность защитных сооружений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w:t>
            </w:r>
          </w:p>
        </w:tc>
      </w:tr>
      <w:tr>
        <w:trPr>
          <w:trHeight w:val="52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Намыв и подсыпка, всего объем и площадь</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м</w:t>
            </w:r>
            <w:r>
              <w:rPr>
                <w:rFonts w:ascii="Times New Roman"/>
                <w:b w:val="false"/>
                <w:i w:val="false"/>
                <w:color w:val="000000"/>
                <w:vertAlign w:val="superscript"/>
              </w:rPr>
              <w:t>3</w:t>
            </w:r>
            <w:r>
              <w:rPr>
                <w:rFonts w:ascii="Times New Roman"/>
                <w:b w:val="false"/>
                <w:i w:val="false"/>
                <w:color w:val="000000"/>
                <w:sz w:val="20"/>
              </w:rPr>
              <w:t>, 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Берегоукрепление</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r>
      <w:tr>
        <w:trPr>
          <w:trHeight w:val="45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Понижение уровня грунтовых вод</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1612</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Поливочный водопровод</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107,6</w:t>
            </w:r>
          </w:p>
        </w:tc>
      </w:tr>
      <w:tr>
        <w:trPr>
          <w:trHeight w:val="24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Ритуальное обслуживание населения </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 площадь кладбищ</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r>
      <w:tr>
        <w:trPr>
          <w:trHeight w:val="31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Общее количество крематориев</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4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Охрана окружающей среды</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 выбросов вредных веществ в атмосферный воздух</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т/ год</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23877,7</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26348,2</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26348,2</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Общий объем сброса загрязненных вод</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млн.м</w:t>
            </w:r>
            <w:r>
              <w:rPr>
                <w:rFonts w:ascii="Times New Roman"/>
                <w:b w:val="false"/>
                <w:i w:val="false"/>
                <w:color w:val="000000"/>
                <w:vertAlign w:val="superscript"/>
              </w:rPr>
              <w:t>3</w:t>
            </w:r>
            <w:r>
              <w:rPr>
                <w:rFonts w:ascii="Times New Roman"/>
                <w:b w:val="false"/>
                <w:i w:val="false"/>
                <w:color w:val="000000"/>
                <w:sz w:val="20"/>
              </w:rPr>
              <w:t>/год</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Рекультивация нарушенных территорий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Территории с уровнем шума свыше 65 Дб</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20863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32241,9</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11516,5</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Территории, неблагополучные в экологическом отношении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7018</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8739</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14000</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Население, проживающее в санитарно-защитных зонах</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чел.</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77,3</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62,6</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Озеленение санитарно-защитных и водоохранных зон</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25353,83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30452,02</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36143,79</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Санитарная очистка территорий</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 бытовых отходов</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т/ год</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169,7</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235,1</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Мусороперерабатывающие заводы (переработка пластмасс)</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единиц/тыс. тонн в год</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1/12,643</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1/12,643</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Мусоросжигательные заводы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единиц/тыс. тонн в год</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Мусоросортировочные станции</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единиц/тыс. тонн в год</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1/75,064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1/75,064</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Усовершенствованные свалки (полигоны)</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единиц /га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 площадь свалок</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60,2</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60,2</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60,2</w:t>
            </w:r>
          </w:p>
        </w:tc>
      </w:tr>
      <w:tr>
        <w:trPr>
          <w:trHeight w:val="49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Иные мероприятия по охране природы и рациональному природопользованию</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тыс. тонн/год</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 компоста 15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 компоста 15</w:t>
            </w:r>
          </w:p>
        </w:tc>
      </w:tr>
    </w:tbl>
    <w:bookmarkStart w:name="z40" w:id="37"/>
    <w:p>
      <w:pPr>
        <w:spacing w:after="0"/>
        <w:ind w:left="0"/>
        <w:jc w:val="both"/>
      </w:pPr>
      <w:r>
        <w:rPr>
          <w:rFonts w:ascii="Times New Roman"/>
          <w:b w:val="false"/>
          <w:i w:val="false"/>
          <w:color w:val="000000"/>
          <w:sz w:val="28"/>
        </w:rPr>
        <w:t>
      Примечание: *- С учетом присоединяемых населенных пунктов к городу;</w:t>
      </w:r>
      <w:r>
        <w:br/>
      </w:r>
      <w:r>
        <w:rPr>
          <w:rFonts w:ascii="Times New Roman"/>
          <w:b w:val="false"/>
          <w:i w:val="false"/>
          <w:color w:val="000000"/>
          <w:sz w:val="28"/>
        </w:rPr>
        <w:t>
</w:t>
      </w:r>
      <w:r>
        <w:rPr>
          <w:rFonts w:ascii="Times New Roman"/>
          <w:b w:val="false"/>
          <w:i w:val="false"/>
          <w:color w:val="000000"/>
          <w:sz w:val="28"/>
        </w:rPr>
        <w:t xml:space="preserve">
      **- Ориентировочный объем инвестиций по реализации проектных решений предусматривается согласно СН РК 3.01-00-2011 «Инструкция о порядке разработки, согласования и утверждения градостроительных проектов в Республике Казахстан» (с изменениями от 12 декабря 2013 года). Прогнозные показатели по инвестициям носят ориентировочный и рекомендательный характер и рассчитаны по аналогам и укрупненным показателям. В дальнейшем, при составлении конкретных программ развития города на проектные этапы, объемы и источники финансирования будут уточняться при формировании бюджетов на соответствующие годы с учетом возможностей республиканского и местного бюджетов. </w:t>
      </w:r>
    </w:p>
    <w:bookmarkEnd w:id="37"/>
    <w:bookmarkStart w:name="z42" w:id="38"/>
    <w:p>
      <w:pPr>
        <w:spacing w:after="0"/>
        <w:ind w:left="0"/>
        <w:jc w:val="both"/>
      </w:pPr>
      <w:r>
        <w:rPr>
          <w:rFonts w:ascii="Times New Roman"/>
          <w:b w:val="false"/>
          <w:i w:val="false"/>
          <w:color w:val="000000"/>
          <w:sz w:val="28"/>
        </w:rPr>
        <w:t xml:space="preserve">
Приложение           </w:t>
      </w:r>
      <w:r>
        <w:br/>
      </w:r>
      <w:r>
        <w:rPr>
          <w:rFonts w:ascii="Times New Roman"/>
          <w:b w:val="false"/>
          <w:i w:val="false"/>
          <w:color w:val="000000"/>
          <w:sz w:val="28"/>
        </w:rPr>
        <w:t>
к Генеральному плану города Актобе</w:t>
      </w:r>
      <w:r>
        <w:br/>
      </w:r>
      <w:r>
        <w:rPr>
          <w:rFonts w:ascii="Times New Roman"/>
          <w:b w:val="false"/>
          <w:i w:val="false"/>
          <w:color w:val="000000"/>
          <w:sz w:val="28"/>
        </w:rPr>
        <w:t xml:space="preserve">
Актюбинской области         </w:t>
      </w:r>
      <w:r>
        <w:br/>
      </w:r>
      <w:r>
        <w:rPr>
          <w:rFonts w:ascii="Times New Roman"/>
          <w:b w:val="false"/>
          <w:i w:val="false"/>
          <w:color w:val="000000"/>
          <w:sz w:val="28"/>
        </w:rPr>
        <w:t xml:space="preserve">
(основные положения)        </w:t>
      </w:r>
    </w:p>
    <w:bookmarkEnd w:id="38"/>
    <w:p>
      <w:pPr>
        <w:spacing w:after="0"/>
        <w:ind w:left="0"/>
        <w:jc w:val="both"/>
      </w:pPr>
      <w:r>
        <w:drawing>
          <wp:inline distT="0" distB="0" distL="0" distR="0">
            <wp:extent cx="97536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753600" cy="6858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