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3f95" w14:textId="0503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предельных аукционных цен на электрическую энергию, произведенную путем энергетической утилизации отходов, включающих порядок индексации аукционных цен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2021 года № 134. Утратило силу постановлением Правительства Республики Казахстан от 31 декабря 2021 года № 988.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31.12.2021 </w:t>
      </w:r>
      <w:r>
        <w:rPr>
          <w:rFonts w:ascii="Times New Roman"/>
          <w:b w:val="false"/>
          <w:i w:val="false"/>
          <w:color w:val="ff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Экологического кодекса Республики Казахстан от 9 января 2007 года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предельных аукционных цен на электрическую энергию, произведенную путем энергетической утилизации отходов, включающие порядок индексации аукционных цен.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2021 года № 134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предельных аукционных цен на электрическую энергию, произведенную путем энергетической утилизации отходов, включающие порядок индексации аукционных цен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предельных аукционных цен на электрическую энергию, произведенную путем энергетической утилизации отходов, включающие порядок индексации аукционных цен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Экологического кодекса Республики Казахстан (далее – Кодекс) и устанавливают порядок определения предельных аукционных цен на электроэнергию, произведенную путем энергетической утилизации отходов, а также порядок индексации аукционных цен.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основные понятия: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энергетическая утилизация отходов – процесс термической обработки отходов с целью уменьшения их объема и получения энергии, в том числе использования их в качестве вторичных и (или) энергетических ресурсов, за исключением получения биогаза и иного топлива из органических отходов;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 по энергетической утилизации отходов – совокупность технических устройств и установок, предназначенных для энергетической утилизации отходов, и взаимосвязанных с ними сооружений и инфраструктуры, технологически необходимых для энергетической утилизации отходов;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аукционная цена – цена на покупку расчетно-финансовым центром электрической энергии, производимой объектом по энергетической утилизации отходов, определенная по итогам аукционных торгов и не превышающая уровня соответствующей предельной аукционной цены;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предельная аукционная цена – максимальная величина аукционной цены на электрическую энергию, произведенную путем энергетической утилизации отходов;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центральный исполнительный орган, осуществляющий руководство и межотраслевую координацию в области охраны окружающей среды и природопользования;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энергопроизводящая организация, использующая энергетическую утилизацию отходов, – юридическое лицо, осуществляющее производство энергии, получаемой от энергетической утилизации отходов, в соответствии с законодательством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финансовая модель – это набор (система) взаимосвязанных показателей, характеризующих внедрение энергопроизводящих организаций, использующих энергетическую утилизацию отходов, с расчетом предельной аукционной цены на электрическую энергию, произведенную путем энергетической утилизации отходов;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расчетно-финансовый центр – юридическое лицо, создаваемое системным оператором и определяемое уполномоченным органом, осуществляющее в порядке, предусмотренном законодательством в области поддержки использования возобновляемых источников энергии, централизованную покупку и продажу электрической энергии, произведенной объектами по энергетической утилизации отходов и поставленной в электрические сети единой электроэнергетической системы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определения, используемые в настоящих Правилах, применяются в соответствии с действующим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Предельные аукционные цены на электрическую энергию, произведенную путем энергетической утилизации отходов, разрабатываются и утверждаются уполномоченным органом.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Предельные аукционные цены утверждаются в тенге с указанием эквивалентов, выраженных в долларах США и Евро по курсу Национального Банка Республики Казахстан на день утверждения.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предельных аукционных цен на электрическую энергию, произведенную путем энергетической утилизации отходов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Предельная аукционная цена на электрическую энергию, произведенную путем энергетической утилизации отходов, определяется исходя из принципа возмещения затрат на строительства и эксплуатацию объектов по энергетической утилизации отходов.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Формула расчета предельной аукционной цены на электрическую энергию, произведенную путем энергетической утилизации отходов, на первый год эксплуатации: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 = (ЗПЭ + ФП) / ОЭ, где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 – предельная аукционная цена (тенге);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ЗПЭ – затраты на производство электрической энергии и расходы периода согласно финансовой модели (тенге);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ФП – фиксированная прибыль (тенге);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ОЭ – объем отпуска электроэнергии, финансовой модели (кВт*ч).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Затраты на производство электрической энергии (ЗПЭ), учитываемые при формировании предельных аукционных цен на электрическую энергию, включают следующее: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материальные затраты (топливо, транспортировка топлива, вода на технологические нужды, горюче-смазочные материалы, прочие основные и вспомогательные материалы);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на оплату труда производственного персонала;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налог, социальные отчисления;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ремонтные расходы (текущие и капитальные ремонты, не приводящие к увеличению стоимости основных средств);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эмиссии в окружающую среду;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водными ресурсами;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налоги (земельный, транспортный, имущество и другие обязательные платежи);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услуги по технической диспетчеризации;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услуги по оказанию балансирования производства-потребления электрической энергии;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услуги сторонних организаций производственного характера.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расходы периода включаются: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оплата труда административного персонала;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на обязательные виды страхования, налоги, сборы и платежи;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командировочные расходы;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услуги сторонних организаций (аудиторские, услуги банка, услуги связи);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на выплату вознаграждения за заҰмные средства (получаемого в национальной валюте, в пределах суммы, рассчитанной с применением не более 2,0 кратной официальной ставки рефинансирования (базовой ставки), установленной Национальным Банком Республики Казахстан).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Расчет фиксированной прибыли (ФП) производится по формуле: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ФП = CAPEX * WACC, где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ФП – фиксированная прибыль (тенге);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CAPEX – величина инвестиционных затрат в проект согласно финансовой модели (тенге);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WACC – средневзвешенная ставка капитала.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Средневзвешенная стоимость капитала (WACC) определяется по формуле расчета средневзвешенной стоимости капитала: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WACC – средневзвешенная ставка доходности капитала, %;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RE – стоимость собственного капитала,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RD – стоимость привлечения заемного капитала, тенге;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E/(D+E) – величина собственного капитала в совокупном вложенном капитале,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D/(D+E) – величина заемного капитала (долга) в совокупном вложенном капитале,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ставка корпоративного подоходного налога, %.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собственного капитала является величиной не менее стоимости привлечения заемного капитала.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Стоимость собственного капитала (RE) определяется на основе модифицированной модели оценки капитальных активов по следующей формуле: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e</w:t>
      </w:r>
      <w:r>
        <w:rPr>
          <w:rFonts w:ascii="Times New Roman"/>
          <w:b w:val="false"/>
          <w:i w:val="false"/>
          <w:color w:val="000000"/>
          <w:sz w:val="28"/>
        </w:rPr>
        <w:t xml:space="preserve"> = R</w:t>
      </w:r>
      <w:r>
        <w:rPr>
          <w:rFonts w:ascii="Times New Roman"/>
          <w:b w:val="false"/>
          <w:i w:val="false"/>
          <w:color w:val="000000"/>
          <w:vertAlign w:val="subscript"/>
        </w:rPr>
        <w:t>f</w:t>
      </w:r>
      <w:r>
        <w:rPr>
          <w:rFonts w:ascii="Times New Roman"/>
          <w:b w:val="false"/>
          <w:i w:val="false"/>
          <w:color w:val="000000"/>
          <w:sz w:val="28"/>
        </w:rPr>
        <w:t xml:space="preserve"> + 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vertAlign w:val="subscript"/>
        </w:rPr>
        <w:t>L</w:t>
      </w:r>
      <w:r>
        <w:rPr>
          <w:rFonts w:ascii="Times New Roman"/>
          <w:b w:val="false"/>
          <w:i w:val="false"/>
          <w:color w:val="000000"/>
          <w:sz w:val="28"/>
        </w:rPr>
        <w:t xml:space="preserve"> * ERP + SP + CP + SR, где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RE – стоимость собственного капитала, тенге;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RF– номинальная безрисковая ставка, %;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ßL – отраслевой коэффициент бета акционерного капитала (с учетом структуры капитала, levered beta);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ERP – ожидаемая премия за риск вложения в акции, %;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 – премия за размер, %;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CP – премия за страновой риск (применяется в зависимости от выбранной RF), %;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SR – премия за специфические риски проекта, %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Номинальная безрисковая ставка (RF) определяется как доходность к погашению 20-летних государственных казначейских облигаций США на начало расчетного периода регулирования согласно данным, размещенным на официальном сайте Федеральной резервной системы США.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Отраслевой коэффициент бета акционерного капитала с учетом структуры капитала (ßL) определяется по следующей формуле: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5257800" cy="96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ßL – коэффициент бета акционерного капитала (с учетом структуры капитала, levered beta);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ßU – коэффициент бета акционерного капитала (без учета структуры капитала, unlevered beta);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D/E – величина заемного капитала (долга) в величине собственного капитала;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ставка корпоративного подоходного налога, %.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Отраслевой коэффициент бета акционерного капитала без учета структуры капитала определяется на основе данных по среднеотраслевой бете А. Дамодарана по энергетическому сектору США за год, предшествующий периоду регулирования.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Величина заемного капитала (долга) в совокупном вложенном капитале (D/(D+E) определяется как среднеотраслевой показатель на основе данных А. Дамодарана по энергетическому сектору США за год, предшествующий периоду регулирования.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Величина собственного капитала в совокупном вложенном капитале (E/(D+E) определяется по следующей формуле: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33782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E/(D+E) – величина собственного капитала в совокупном вложенном капитале;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D/(D+E) – величина заемного капитала (долга) в совокупном вложенном капитале.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Величина заемного капитала (долга) в величине собственного капитала (D/E) определяется по следующей формуле: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2971800" cy="107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D/E – величина заемного капитала (долга) в величине собственного капитала;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D/(D+E) – величина заемного капитала (долга) в совокупном вложенном капитале.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Ожидаемая премия за риск вложения в акции принята на уровне 6%.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Премия за размер определяется на основе данных исследований для компаний с микро-капитализацией. Пересмотр данного параметра для расчета средневзвешенной стоимости капитала проводится только в начале расчетного периода регулирования.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Премия за страновой риск определяется на основе данных по страновому риску А. Дамодарана для Республики Казахстан за год, предшествующий периоду регулирования.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Пересмотр данного параметра для расчета средневзвешенной стоимости капитала проводится только в начале расчетного периода регулирования.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Премия за специфические риски проекта определена на уровне 3%.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Стоимость привлечения заемного капитала определяется как средняя фактическая ставка по долгосрочным кредитам, выданным банками нефинансовым организациям в Республике Казахстан, по данным Национального Банка Республики Казахстан.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Ставка корпоративного подоходного налога определяется в номинальном выражении в соответствии с налоговым законодательством Республики Казахстан.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Величина средневзвешенной ставки доходности капитала (WACC) в размере 17,55% применяется в качестве величины средневзвешенной ставки доходности капитала (WACC), используемой в расчетах определения предельной аукционной цены на электрическую энергию, произведенную путем энергетической утилизации отходов.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Предельные аукционные цены на электрическую энергию, произведенную путем энергетической утилизации отходов, утверждаются актом уполномоченного органа при согласовании с уполномоченным органом, осуществляющим руководство в области электроэнергетики, и уполномоченным органом, осуществляющим руководство в сфере индустрии и индустриально-инновационного развития.</w:t>
      </w:r>
    </w:p>
    <w:bookmarkEnd w:id="91"/>
    <w:bookmarkStart w:name="z9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индексации аукционных цен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Аукционные цены в зависимости от структуры финансирования проекта и экономической обоснованности подлежат ежегодной индексации с учетом индекса потребительских цен (ИПЦ) и/или внеочередной индексации в случае существенного (более 10%) изменения курса национальной валюты по отношению к иностранным валютам,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Аукционные цены индексируются расчетно-финансовым центром один раз в год на 1 ноября с учетом инфляции по формуле: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</w:t>
      </w:r>
      <w:r>
        <w:rPr>
          <w:rFonts w:ascii="Times New Roman"/>
          <w:b w:val="false"/>
          <w:i w:val="false"/>
          <w:color w:val="000000"/>
          <w:vertAlign w:val="subscript"/>
        </w:rPr>
        <w:t>t+1</w:t>
      </w:r>
      <w:r>
        <w:rPr>
          <w:rFonts w:ascii="Times New Roman"/>
          <w:b w:val="false"/>
          <w:i w:val="false"/>
          <w:color w:val="000000"/>
          <w:sz w:val="28"/>
        </w:rPr>
        <w:t>= Т</w:t>
      </w:r>
      <w:r>
        <w:rPr>
          <w:rFonts w:ascii="Times New Roman"/>
          <w:b w:val="false"/>
          <w:i w:val="false"/>
          <w:color w:val="000000"/>
          <w:vertAlign w:val="sub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* ИПЦ, 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Т</w:t>
      </w:r>
      <w:r>
        <w:rPr>
          <w:rFonts w:ascii="Times New Roman"/>
          <w:b w:val="false"/>
          <w:i w:val="false"/>
          <w:color w:val="000000"/>
          <w:vertAlign w:val="subscript"/>
        </w:rPr>
        <w:t>t+1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проиндексированная аукционная цена, рассчитанная по вышеуказанной формуле, округляемая до целых тиын в сторону уменьшения;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</w:t>
      </w:r>
      <w:r>
        <w:rPr>
          <w:rFonts w:ascii="Times New Roman"/>
          <w:b w:val="false"/>
          <w:i w:val="false"/>
          <w:color w:val="000000"/>
          <w:vertAlign w:val="sub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аукционная цена с учетом ранее проведенной индексации, если таковая ранее проводилась;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ИПЦ – индекс потребительских цен, накопленный за двенадцать месяцев, предшествующих 1 ноября года проведения индексации, определяемый по данным уполномоченного органа в области государственной статистики. 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проектов, имеющих кредитные обязательства в иностранной валюте, аукционные цены индексируются один раз в год на 1 ноября с учетом инфляции и изменения обменного курса национальной валюты к конвертируемым валютам по формуле: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7810500" cy="86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</w:t>
      </w:r>
      <w:r>
        <w:rPr>
          <w:rFonts w:ascii="Times New Roman"/>
          <w:b w:val="false"/>
          <w:i w:val="false"/>
          <w:color w:val="000000"/>
          <w:vertAlign w:val="subscript"/>
        </w:rPr>
        <w:t>t+1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проиндексированная аукционная цена, рассчитанная по вышеуказанной формуле, округляемая до целых тиынов в сторону уменьшения;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аукционная цена с учетом ранее проведенной индексации, если такая индексация ранее проводилась;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ИПЦ</w:t>
      </w:r>
      <w:r>
        <w:rPr>
          <w:rFonts w:ascii="Times New Roman"/>
          <w:b w:val="false"/>
          <w:i w:val="false"/>
          <w:color w:val="000000"/>
          <w:vertAlign w:val="sub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индекс потребительских цен, накопленный за двенадцать месяцев, предшествующих 1 ноября года проведения индексации, определяемый по данным уполномоченного органа в области государственной статистики;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USD</w:t>
      </w:r>
      <w:r>
        <w:rPr>
          <w:rFonts w:ascii="Times New Roman"/>
          <w:b w:val="false"/>
          <w:i w:val="false"/>
          <w:color w:val="000000"/>
          <w:vertAlign w:val="subscript"/>
        </w:rPr>
        <w:t>t+1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текущий курс тенге к доллару США на 1 ноября года проведения индексации, определяемый по данным Национального Банка Республики Казахстан; 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USD</w:t>
      </w:r>
      <w:r>
        <w:rPr>
          <w:rFonts w:ascii="Times New Roman"/>
          <w:b w:val="false"/>
          <w:i w:val="false"/>
          <w:color w:val="000000"/>
          <w:vertAlign w:val="sub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средний курс тенге к доллару США, рассчитанный за период двенадцати месяцев, предшествующих дате проведения индексации, определяемой по данным Национального Банка Республики Казахстан. 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Расчет индексации аукционных цен осуществляется расчетно-финансовым центром ежегодно до 10 ноября.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Расчет индексации аукционных цен и проиндексированные аукционные цены публикуются расчетно-финансовым центром на своем официальном интернет-сайте не позднее 15 ноября соответствующего года.</w:t>
      </w:r>
    </w:p>
    <w:bookmarkEnd w:id="1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