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b1e7" w14:textId="565b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2021 года № 543.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Акционерное общество "Национальный управляющий холдинг "Байтерек", сто процентов акций которого находятся в республиканской собственности, направляет на выплату дивидендов на государственный пакет акций 14,2 (четырнадцать целых и две десятых) процента от чистого дохода, отраженного в консолидированной годовой финансовой отчетности по итогам 2020 года.".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