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ea3d" w14:textId="2ede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постановления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 и от 31 декабря 2019 года № 1060 "О некоторых мерах государственной поддержки частного предпринимательства"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2023 года № 139. Утратило силу постановлением Правительства Республики Казахстан от 26 апреля 2024 года № 336.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26.04.2024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2018 года № 820 "О некоторых вопросах обеспечения долгосрочной тенговой ликвидности для решения задачи доступного кредитования":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механизме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и финансового лизинга приоритетных проектов, утвержденном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снижение доли импорта по товарным группам согласно приложению 1 к настоящему механизму кредитования и финансового лизинга приоритетных проектов (далее – механизм) на 15 % к 2024 году от уровня 2021 года;";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пятую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этом на кредитование и финансовый лизинг проектов, реализуемых субъектами малого и среднего бизнеса (далее – МСБ), будет направлено не менее 200 (двести) млрд тенге. В этих целях каждый БВУ, ЛК и АКК обеспечит финансирование и финансовый лизинг проектов МСБ в размере не менее 20 % от общего объема выданных кредитов и финансовых лизингов на условиях, установленных настоящим механизмом.";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Условия финансирования СЧП: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целевой группой СЧП являются эффективные предприниматели/субъекты индустриально-инновационной деятельности, определенные в Правилах субсидирования части ставки вознаграждения в рамках национального проекта по развитию предпринимательства на 2021 – 2025 годы и реализующие проекты в приоритетных отраслях экономики в соответствии с перечнем товаров для кредитования и финансового лизинга по приоритетным проектам (далее – перечень), согласно приложению 2 к настоящему механизму. При этом для подтверждения целевого назначения проекта достаточно выпуска не менее одного вида товара из перечня, привязанного к конкретному виду общего классификатора всех видов экономической деятельности (далее – ОКЭД). Для сферы услуг критерием соответствия будет отнесение к видам ОКЭД.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кредитования проектов на сумму свыше 10 (десять) млрд тенге, необходимо положительное заключение соответствующего отраслевого центрального уполномоченного органа;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ставка вознаграждения для СЧП не более базовой ставки, установленной Национальным Банком Республики Казахстан и увеличенной на 4,5 (четыре с половиной) процентных пункта. При расчете предельной ставки вознаграждения учитывается базовая ставка, установленная Национальным Банком Республики Казахстан и действующая на момент решения БВУ/ЛК по проекту предпринимателя;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валюта кредитования для СЧП –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– до 5 (пять) лет включительно, при этом БВУ, ЛК и АКК могут предоставить льготный период/отсрочку по выплате несубсидируемой части ставки вознаграждения и/или погашению основного долга по кредиту/финансовому лизингу на срок не более одной трети продолжительности срока кредита/финансового лизинга.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наступления обстоятельств, ухудшающих положения СЧП, последние могут получить льготный период/отсрочку по выплате несубсидируемой части ставки вознаграждения и/или погашению основного долга по кредиту на срок не более половины продолжительности срока кредита. При этом наступление таких обстоятельств должно подтверждаться соответствующими решениями Главы государства и Правительства Республики Казахстан и/или документами уполномоченных органов.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 подлежат финансированию проекты СЧП: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имеющие просроченную ссудную задолженность свыше 90 (девяносто) календарных дней на момент кредитования или подачи кредитной заявки согласно данным кредитного бюро;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являющиеся лицами, связанными с БВУ, ЛК и АКК, осуществляющими финансирование или финансовый лизинг, особыми отношениями;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которые зарегистрированы в офшорных зонах, указанных в постановлении правления Агентства Республики Казахстан по регулированию и развитию финансового рынка от 24 февраля 2020 года № 8 "Об установлении Перечня офшорных зон для целей банковской и страховой деятельности, деятельности профессиональных участников рынка ценных бумаг и иных лицензируемых видов деятельности на рынке ценных бумаг, деятельности акционерных инвестиционных фондов и деятельности организаций, осуществляющих микрофинансовую деятельность" (зарегистрировано в Реестре государственной регистрации нормативных правовых актов за № 20095), а также участники и (или) акционеры которых зарегистрированы в офшорных зонах;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предприниматели/субъекты индустриально-инновационной деятельности, пятьдесят и более процентов акций (долей участия в уставном капитале) которых прямо или косвенно принадлежат государству, национальному управляющему холдингу, национальному холдингу, национальной компании (за исключением социально-предпринимательской корпорации, а также СЧП, учрежденные в рамках договора о государственно-частном партнерстве), а также СЧП, форма собственности которых оформлена как частное учреждение.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финансирования заемщика на 100 % пополнение оборотных средств по проектам переработки и производства в агропромышленном комплексе за счет собственных средств БВУ, ЛК и АКК в рамках механизма дополнительно применяются следующие критерии отбора проектов: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просроченной налоговой задолженности на момент подачи заявки;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недопущение направления средств на цели проведения расчетов по текущим платежам по обслуживанию кредитов/финансового лизинга.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финансировании СЧП по проектам в обрабатывающей промышленности по ОКЭД 1101 (дистилляция, ректификация и смешивание спиртных напитков) применяются следующие критерии отбора проектов: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объем налоговых платежей за каждый календарный год, уплаченных СЧП, выпускающих подакцизную продукцию по ОКЭД 1101 (дистилляция, ректификация и смешивание спиртных напитков), за предшествующие 3 (три) года до участия в механизме эквивалентен сумме или составляет не менее 10 % от общего дохода местного бюджета по месту нахождения объекта производства СЧП;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ежегодный размер налогов, уплаченных СЧП, выпускающих подакцизную продукцию по ОКЭД 1101 (дистилляция, ректификация и смешивание спиртных напитков), за последние 3 (три) календарных года до участия в механизме не ниже 1 600 000 МРП.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Максимальная сумма кредита/финансового лизинга на пополнение оборотных средств составляет не более 5 (пять) млрд тенге. Проекты, одобренные до утверждения данного условия,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Условия субсидирования проектов СЧП по переработке в агропромышленном комплексе, в обрабатывающей промышленности и услугах: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осуществляется за счет средств, выделяемых на реализацию мероприятий национального проекта по развитию предпринимательства на 2021 – 2025 годы, утвержденного постановлением Правительства Республики Казахстан от 12 октября 2021 года № 728, и настоящего механизма.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субсидирования ставки вознаграждения по выдаваемым БВУ, ЛК и АКК кредитам/финансовым лизингам СЧП осуществляется за счет средств республиканского бюджета.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по переработке в агропромышленном комплексе, в обрабатывающей промышленности и услугах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Субсидирование проектов в обрабатывающей промышленности по ОКЭД 1101 (дистилляция, ректификация и смешивание спиртных напитков) осуществляется по кредитам/лизинговым сделкам с номинальной ставкой вознаграждения, не превышающей базовую ставку, установленную Национальным Банком Республики Казахстан и увеличенную на 4,5 (четыре с половиной) процентных пункта, из которых 13,25 % субсидируется государством, а разницу оплачивает СЧП. Проекты, одобренные до утверждения вышеуказанной ставки вознаграждения,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уменьшения базовой ставки, установленной Национальным Банком Республики Казахстан на 6 декабря 2022 года, субсидируемая государством часть ставки вознаграждения снижается на равнозначное изменение уменьшаемому значению базовой ставки Национального Банка Республики Казахстан.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кредитов/финансового лизинга, направленных на инвестиции, составляет не более 5 (пять) лет без права пролонгации срока субсидирования.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субсидирования кредитов и финансового лизинга, направленных на пополнение оборотных средств, составляет не более 3 (три) лет без права пролонгации срока субсидирования.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Субсидированию также подлежат кредиты/финансовый лизинг, направленные на рефинансирование кредитов/договоров финансового лизинга, ранее одобренные/выданные БВУ/ЛК, находящиеся под санкциями и соответствующие условиям, указанным в настоящем механизме.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рефинансирование осуществляется только за счет собственных средств БВУ/ЛК.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Условия, порядок и механизм субсидирования, а также мониторинг реализуемых проектов в рамках настоящего механизма регламентируются Правилами субсидирования части ставки вознаграждения в рамках национального проекта по развитию предпринимательства на 2021 – 2025 годы.";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 к механизму кредитования и финансового лизинга приоритетных проектов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механизму кредитования и финансового лизинга приоритетных проектов: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механизму 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проектов";</w:t>
            </w:r>
          </w:p>
        </w:tc>
      </w:tr>
    </w:tbl>
    <w:p>
      <w:pPr>
        <w:spacing w:after="0"/>
        <w:ind w:left="0"/>
        <w:jc w:val="both"/>
      </w:pPr>
      <w:bookmarkStart w:name="z51" w:id="40"/>
      <w:r>
        <w:rPr>
          <w:rFonts w:ascii="Times New Roman"/>
          <w:b w:val="false"/>
          <w:i w:val="false"/>
          <w:color w:val="ff0000"/>
          <w:sz w:val="28"/>
        </w:rPr>
        <w:t xml:space="preserve">
      2) Утратил силу постановлением Правительства РК от 18.01.2024 </w:t>
      </w:r>
      <w:r>
        <w:rPr>
          <w:rFonts w:ascii="Times New Roman"/>
          <w:b w:val="false"/>
          <w:i w:val="false"/>
          <w:color w:val="ff0000"/>
          <w:sz w:val="28"/>
        </w:rPr>
        <w:t>№ 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1 с изменением, внесенным постановлением Правительства РК от 18.01.2024 </w:t>
      </w:r>
      <w:r>
        <w:rPr>
          <w:rFonts w:ascii="Times New Roman"/>
          <w:b w:val="false"/>
          <w:i w:val="false"/>
          <w:color w:val="000000"/>
          <w:sz w:val="28"/>
        </w:rPr>
        <w:t>№ 18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после дня его первого официального опубликования.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   " 2023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механизму кредитования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финансового лизинга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приоритетных проектов</w:t>
            </w:r>
          </w:p>
        </w:tc>
      </w:tr>
    </w:tbl>
    <w:bookmarkStart w:name="z1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товарных групп для снижения доли импорта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группы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в потреблении в 2021 году,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импорта в потреблении в 2024 году, %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питания и напитки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Хлебобулочные и кондитерские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и фрукты: яблоки, виноград, грибы, лук, капуста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Напитки и соки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мясная продукция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молочная продукция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Масла растительные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Макароны и мучные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 для дома и офиса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 из стекла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домашнего обихода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и пледы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Мебель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Бытовая химия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материалы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конструкции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Стекло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Металлические изделия для строительства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Межстенные перегородки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Линолеум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Кирпичи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Строительные смеси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аксессуары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Текстильные изделия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Бакалея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