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eafa" w14:textId="830e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ежедневной электронной отчетности банков-кастодианов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136. Зарегистрировано в Министерстве юстиции Республики Казахстан 27 мая 2003 года N 2323. Утратило силу - постановлением Правления Агентства РК по регулированию и надзору финансового рынка и финансовых организаций от 27.12.2004г. N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Извлечение из постановления Правления Агентства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по регулированию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финансовых организаций от 27.12.2004г. N 386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Правления Национального Банка Республики Казахстан от 21 апреля 2003 года N 136 "Об утверждении Правил ежедневной электронной отчетности банков-кастодианов накопительных пенсионных фондов"...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и в целях обеспечения оперативного контроля за состоянием пенсионных активов накопительных пенсионных фондов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ежедневной электронной отчетности банков-кастодианов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14 октября 1999 года N 455 "Об утверждении Правил ежедневной электронной отчетности банков-кастодианов накопительных пенсионных фондов" (зарегистрированное в Реестре государственной регистрации нормативных правовых актов Республики Казахстан под N 939, опубликованное в ноябре 1999 года в журнале "Рынок ценных бумаг Казахстана" N 11).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банков-кастодианов, объединения юридических лиц в форме Ассоциации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"Об утверждении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ежедневной электронной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банков-кастодианов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2003 года N 136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ежедневной электронной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банков-кастодианов накопительных пенсионных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в целях обеспечения оперативного контроля за состоянием пенсионных активов накопительных пенсионных фондов, и определяют порядок представления банками-кастодианами накопительных пенсионных фондов (далее - банк-кастодиан) ежедневной электронной отчетности о состоянии пенсионных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Понятия, используемые в настоящих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отчетность - ежедневная электронная отчетность банка-кастодиана о состоянии пенсионных активов, состоящая из типовых 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собственное программное обеспечение - разрабатываемая банком-кастодианом компьютерная программа по проверке правильности заполнения типовых 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специальное программное обеспечение - справочник и компьютерная программа по заполнению типовых форм, представляемые банку-кастодиану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справочник - электронная база данных, используемая банком-кастодианом при заполнении типовых 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типовые формы - формы ежедневной электронной отчетности банка-кастодиана о состоянии пенсионных активов, перечень и содержание которых установлены приложением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государственный орган, осуществляющий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обеспечивает банк-кастодиан: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адресами электронной почты, по которым должна передаваться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единым для всех банков-кастодианов специальным программным обеспечением, используемым при заполнении типовых форм и отправке отчетности, и соответствующей технической документацией;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методическими рекомендациями по заполнению типовых форм.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обеспечивает конфиденциальность информации, которая содержится в полученной от банка-кастодиана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заполнения типовых форм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(отправления)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за истекший рабочий день представляется банком-кастодианом уполномоченному органу электронной почтой на следующий рабочий день, не позднее 15.00 часов алматинского времени.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доступа к справочнику и передачи отчетности банк-кастодиан должен получить в уполномоченном органе имя пользователя (имена пользователей) и пароль (пароли), которые могут быть изменены в любое время по письменному заявлению банка-кастодиана, подписанному первым руководителем и заверенному оттиском печати банка-кастодиана.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Типовые формы заполняются банком-кастодианом в соответствии со сведениями, полученными из обновленного справочника, сформированного уполномоченным органом и переданного банку-кастодиану электронной почтой.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обновления справочника банк-кастодиан заполняет типовые формы согласно полученным от уполномоченного органа указаниям и методическим рекомендациям.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Типовые формы заполняются в разрезе каждого отдельного накопительного пенсионного фонда. Каждое отдельное движение пенсионных активов должно отражаться в отдельной строке типовой формы.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окончании заполнения типовых форм банк-кастодиан проверяет их с использованием собственного программного обеспечения и/или специального программного обеспечения. По окончании проверки типовых форм банк-кастодиан передает отчетность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исключительных случаях, при невозможности передачи отчетности электронной почтой, заполненные типовые формы представляются уполномоченному органу на бумажном носителе. При этом каждая отдельная заполненная типовая форма должна быть подписана первым руководителем и главным бухгалтером и заверена оттиском печати банка-кастодиана. При представлении заполненных типовых форм на бумажном носителе банк-кастодиан обеспечивает их последующую передачу посредством электронной почты.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после передачи отчетности в уполномоченный орган были выявлены ошибки в типовых формах, банк-кастодиан в течение трех дней представляет в уполномоченный орган объяснительное письмо за подписью первого руководителя и передает уполномоченному органу исправленную отчетность.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невыполнение требований, установленных настоящими Правилами, банки-кастодианы несут ответственность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ежедневной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банков-кастодианов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и 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типовых форм ежедневной электронной отчетности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банка-кастодиана 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"ДЕНЕЖНЫЙ БАЛАНС"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валюты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 типа счета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Остаток денег на начало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Остаток денег на конец дня.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"ДВИЖЕНИЕ ДЕНЕГ"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валюты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 типа счета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Код вида платежа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Сумма платежа.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"ПОРТФЕЛЬ ВКЛАДОВ"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договора банковского вклада (формируется банком-кастодианом самостоятельно).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 типа операции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Количество вкладов на конец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Сумма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перечисления денег с инвестиционного счета во вклад.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Курс валюты вклада к валюте платежа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Дата фактического поступления денег во вклад.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Сумма денег, оставшаяся во вкладе (данное поле заполняется в случае частичного возврата денег по вкладу).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Дата возврата денег по вкладу.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Ставка вознаграждения по вкладу с учетом изменений вида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Код валюты платежа вклада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Код банка, в котором размещены во вклад пенсионные активы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Код валюты вклада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Номер договора банковского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Срок вклада в днях.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Начисленное вознаграждение по вкладу.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Текущая стоимость вклада в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"ДВИЖЕНИЕ ПО ПОРТФЕЛЮ ВКЛАДОВ"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договора банковского вклада (формируется банком-кастодианом самостоятельно).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Код типа операции в соответствии со справочником (размещение во вклад; возврат вклада).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Изменение количества вкладов.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перечисления денег с инвестиционного счета во вклад.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Дата заключения договора банковского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Дата возврата денег по вкладу.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Сумма досрочного частичного возврата денег по вкладу.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Сумма денег, перечисленная во вклад.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Сумма денег, возвращенная по вкладу и/или сумма поступившего вознаграждения по вкладу.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Ставка вознаграждения по вкладу (данное поле заполняется при изменении ставки вознаграждения).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Курс конвертации в случае изменения валюты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Код начальной валюты вклада в случае его изменения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Код окончательной валюты вклада в случае его изменения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Код валюты платежа по вкладу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Код валюты вклада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Код банка, в котором размещены во вклад пенсионные активы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Срок вклада в днях.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"ИНВЕСТИЦИОННЫЙ ПОРТФЕЛЬ ЦЕННЫХ БУМАГ"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ценной бумаги (национальный идентификационный номер (ISIN) 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 типа операции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Код сделки "репо".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ценных бумаг на конец дня. Для ценных бумаг одного типа (множества ценных бумаг однородного качества, обладающего характеристиками, которые позволяют однозначно отличить данное множество от других (в том числе и от других типов ценных бумаг, выпущенных тем же эмитентом) с равными условиями приобретения; для международных облигаций, которые не могут быть выражены количественно - в качестве единицы количественного изменения принимается одна единица иностранной валюты, в которой выражена номинальная стоимость международной облигации).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заключения сделки с ценными бумагами.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Дата перечисления денег с инвестиционного счета в оплату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Дата зачисления ценных бумаг на счет "депо" накопительного пенсионного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Цена приобретения ценных бумаг (при первоначальном признании ценные бумаги учитываются по фактическим затратам). В стоимость ценных бумаг на данную дату не включается купонный доход продавца.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Цена закрытия операции "обратное репо" (цена, отраженная в первичном документе, который подтверждает осуществление операции "обратное репо").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Начисленная сумма купонного дохода продавца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Дата закрытия сделки "обратное репо" с учетом изменений ее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Курс валюты сделки по покупке ценных бумаг, номинированных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Заявленный курс сделки "обратное репо" по ценным бумагам, номинированным в иностранной валюте, при ее закрытии.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Код валюты платежа в оплату ценных бумаг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Код брокера, заключившего сделку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Ставка доходности по сделке "обратное репо", установленная в торговой системе организатора торгов ценными бумагами.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Суммарное начисленное вознаграждение по ценной бумаге.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Суммарная текущая стоимость по ценной бумаге в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RC006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"ДВИЖЕНИЯ В ИНВЕСТИЦИОННОМ ПОРТФЕЛЕ ЦЕННЫХ БУМАГ"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ценной бумаги (национальный идентификационный номер (ISIN 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 типа операции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Код сделки "репо".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ценных бумаг на конец дня. Для ценных бумаг одного типа (множества ценных бумаг однородного качества, обладающего характеристиками, которые позволяют однозначно отличить данное множество от других (в том числе и от других типов ценных бумаг, выпущенных тем же эмитентом) с равными условиями приобретения; для международных облигаций, которые не могут быть выражены количественно - в качестве единицы количественного изменения принимается одна единица иностранной валюты, в которой выражена номинальная стоимость международной облигации).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заключения сделки с ценными бумагами.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Дата перечисления денег с инвестиционного счета в оплату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Дата поступления денег на инвестиционный счет при продаже ценных бумаг (для сделок "обратное репо" - дата закрытия).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Цена приобретения ценных бумаг (при первоначальном признании ценные бумаги учитываются по фактическим затратам). В стоимость ценных бумаг на данную дату не включается купонный доход продавца.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Фактическая цена продажи ценных бумаг (в стоимость ценных бумаг на данную дату не включается купонный доход продавца).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Начисленная сумма купонного дохода продавца ценных бумаг при покупке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Начисленная сумма купонного дохода продавца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Курс валюты сделки по покупке ценных бумаг, номинированных в иностранной валюте (в случае заключения сделки в торговой системе организатора торгов ценными бумагами).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Курс валюты сделки по продаже ценных бумаг, номинированных в иностранной валюте (в случае заключения сделки в торговой системе организатора торгов ценными бумагами).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Код валюты платежа в оплату ценных бумаг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Код валюты платежа при продаже ценных бумаг (в соответствии со справочником).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Код брокера, заключившего сделку (в соответствии со справочником).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