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56b9f" w14:textId="3756b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19 декабря 2008 года № 8/2. Зарегистрировано управлением юстиции Сандыктауского района Акмолинской области 30 декабря 2008 года N 1-16-85. Утратило силу - решением Сандыктауского маслихата Акмолинской области от 22 февраля 2010 года № 17/7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решением Сандыктауского маслихата Акмолинской области от 22.02.2010 № 17/7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 1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района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1132977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налоговым поступлениям – 204 479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неналоговым поступлениям – 10 060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поступлениям от продажи основного капитала – 461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поступлениям трансфертов – 917977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1132916,9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16300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– 16300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-16239,9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16239,9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– 16239,9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 с изменениями, внесенными решениями Сандыктауского районного маслихата Акмолинской области от 08.04.2009 </w:t>
      </w:r>
      <w:r>
        <w:rPr>
          <w:rFonts w:ascii="Times New Roman"/>
          <w:b w:val="false"/>
          <w:i w:val="false"/>
          <w:color w:val="000000"/>
          <w:sz w:val="28"/>
        </w:rPr>
        <w:t>№ 10/2</w:t>
      </w:r>
      <w:r>
        <w:rPr>
          <w:rFonts w:ascii="Times New Roman"/>
          <w:b w:val="false"/>
          <w:i/>
          <w:color w:val="800000"/>
          <w:sz w:val="28"/>
        </w:rPr>
        <w:t xml:space="preserve">; 29.04.2009 </w:t>
      </w:r>
      <w:r>
        <w:rPr>
          <w:rFonts w:ascii="Times New Roman"/>
          <w:b w:val="false"/>
          <w:i w:val="false"/>
          <w:color w:val="000000"/>
          <w:sz w:val="28"/>
        </w:rPr>
        <w:t>№ 11/14;</w:t>
      </w:r>
      <w:r>
        <w:rPr>
          <w:rFonts w:ascii="Times New Roman"/>
          <w:b w:val="false"/>
          <w:i/>
          <w:color w:val="800000"/>
          <w:sz w:val="28"/>
        </w:rPr>
        <w:t xml:space="preserve"> 22.07.2009 </w:t>
      </w:r>
      <w:r>
        <w:rPr>
          <w:rFonts w:ascii="Times New Roman"/>
          <w:b w:val="false"/>
          <w:i w:val="false"/>
          <w:color w:val="000000"/>
          <w:sz w:val="28"/>
        </w:rPr>
        <w:t>№ 13/2;</w:t>
      </w:r>
      <w:r>
        <w:rPr>
          <w:rFonts w:ascii="Times New Roman"/>
          <w:b w:val="false"/>
          <w:i/>
          <w:color w:val="800000"/>
          <w:sz w:val="28"/>
        </w:rPr>
        <w:t xml:space="preserve"> 22.10.2009 </w:t>
      </w:r>
      <w:r>
        <w:rPr>
          <w:rFonts w:ascii="Times New Roman"/>
          <w:b w:val="false"/>
          <w:i w:val="false"/>
          <w:color w:val="000000"/>
          <w:sz w:val="28"/>
        </w:rPr>
        <w:t>№ 14/1</w:t>
      </w:r>
      <w:r>
        <w:rPr>
          <w:rFonts w:ascii="Times New Roman"/>
          <w:b w:val="false"/>
          <w:i/>
          <w:color w:val="800000"/>
          <w:sz w:val="28"/>
        </w:rPr>
        <w:t xml:space="preserve">; 02.12.2009 </w:t>
      </w:r>
      <w:r>
        <w:rPr>
          <w:rFonts w:ascii="Times New Roman"/>
          <w:b w:val="false"/>
          <w:i w:val="false"/>
          <w:color w:val="000000"/>
          <w:sz w:val="28"/>
        </w:rPr>
        <w:t>№ 15/1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района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подоходного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налога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акцизов;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поступлений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сбора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пошлины.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доходов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штрафов, пени, санкций, взысканий,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финансового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прочих неналоговых поступлений.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поступлений от продажи основного капитала,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продажи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продажа нематериальных активов.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поступлений трансфертов,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трансфертов из областного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района 2009 год объем субвенций, передаваемой из областного бюджета в бюджет района, составит 686781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составе трансфертов, выделенных из областного бюджета на 2009 год в сумме 204 627,2 тысяч тенге, предусмотрены следующие трансферты: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125131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9347,9 тысяч тенге – на реализацию Государственной программы развития образования Республики Казахстан на 2005 – 2010 годы,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на оснащение учебным оборудованием кабинетов физики, химии, биологии в государственных учреждениях основного среднего и общего среднего образования 3973,1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на создание лингафонных и мультимедийных кабинетов в государственных учреждениях начального, основного среднего и общего среднего образования 5374,8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3279 тысяч тенге –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выплату государственной адресной социальной помощи 1162 тысяч тенге на выплату государственных пособий на детей до 18 лет из малообеспеченных семей 2117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3150 тысяч тенге - на расширение программ молодежной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9270 тысяч тенге - на создание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58497тысяч тенге - на проведение капитального ремонта водопроводных сетей села Приозерное;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11314,2 тысяч тенге - на проведение текущего ремонта автодорог местной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25626,3 тысяч тенге - на капитальный ремонт средней школы аула Мадениет;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59 тысяч тенге - на оказание социальной помощи студентам из малообеспеченных семей на оплату за учебу;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3447,6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тысяч тенге – на реализацию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1140 тысяч тенге – на оказание социальной помощи участникам и инвалидам Великой отечественной войны на расходы за коммунальные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106065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38111</w:t>
      </w:r>
      <w:r>
        <w:rPr>
          <w:rFonts w:ascii="Times New Roman"/>
          <w:b w:val="false"/>
          <w:i w:val="false"/>
          <w:color w:val="000000"/>
          <w:sz w:val="28"/>
        </w:rPr>
        <w:t>,9 тысяч тенге - на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15078,4 тысяч тенге - на развитие, обустройство и (или) приобретение инженерно-коммуникационной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26833 тысяч тенге – на проведение реконструкции сетей водопровода в селе Максимовка;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14130 тысяч тенге – на разработку проектно – сметной документации и проведение государственной экспертизы по проекту строительства водопроводных сетей в селе Каменка;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16300 тысяч тенге – на увеличение уставного капитала государственного коммунального предприятия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4 с изменениями, внесенными решениями Сандыктауского районного маслихата Акмолинской области от 08.04.2009 </w:t>
      </w:r>
      <w:r>
        <w:rPr>
          <w:rFonts w:ascii="Times New Roman"/>
          <w:b w:val="false"/>
          <w:i w:val="false"/>
          <w:color w:val="000000"/>
          <w:sz w:val="28"/>
        </w:rPr>
        <w:t>№ 10/2</w:t>
      </w:r>
      <w:r>
        <w:rPr>
          <w:rFonts w:ascii="Times New Roman"/>
          <w:b w:val="false"/>
          <w:i/>
          <w:color w:val="800000"/>
          <w:sz w:val="28"/>
        </w:rPr>
        <w:t xml:space="preserve">; 29.04.2009 </w:t>
      </w:r>
      <w:r>
        <w:rPr>
          <w:rFonts w:ascii="Times New Roman"/>
          <w:b w:val="false"/>
          <w:i w:val="false"/>
          <w:color w:val="000000"/>
          <w:sz w:val="28"/>
        </w:rPr>
        <w:t>№ 11/1;</w:t>
      </w:r>
      <w:r>
        <w:rPr>
          <w:rFonts w:ascii="Times New Roman"/>
          <w:b w:val="false"/>
          <w:i/>
          <w:color w:val="800000"/>
          <w:sz w:val="28"/>
        </w:rPr>
        <w:t xml:space="preserve"> 22.07.2009 </w:t>
      </w:r>
      <w:r>
        <w:rPr>
          <w:rFonts w:ascii="Times New Roman"/>
          <w:b w:val="false"/>
          <w:i w:val="false"/>
          <w:color w:val="000000"/>
          <w:sz w:val="28"/>
        </w:rPr>
        <w:t>№ 13/2;</w:t>
      </w:r>
      <w:r>
        <w:rPr>
          <w:rFonts w:ascii="Times New Roman"/>
          <w:b w:val="false"/>
          <w:i/>
          <w:color w:val="800000"/>
          <w:sz w:val="28"/>
        </w:rPr>
        <w:t xml:space="preserve"> 22.10.2009 </w:t>
      </w:r>
      <w:r>
        <w:rPr>
          <w:rFonts w:ascii="Times New Roman"/>
          <w:b w:val="false"/>
          <w:i w:val="false"/>
          <w:color w:val="000000"/>
          <w:sz w:val="28"/>
        </w:rPr>
        <w:t>№ 14/1;</w:t>
      </w:r>
      <w:r>
        <w:rPr>
          <w:rFonts w:ascii="Times New Roman"/>
          <w:b w:val="false"/>
          <w:i/>
          <w:color w:val="800000"/>
          <w:sz w:val="28"/>
        </w:rPr>
        <w:t xml:space="preserve"> 02.12.2009 </w:t>
      </w:r>
      <w:r>
        <w:rPr>
          <w:rFonts w:ascii="Times New Roman"/>
          <w:b w:val="false"/>
          <w:i w:val="false"/>
          <w:color w:val="000000"/>
          <w:sz w:val="28"/>
        </w:rPr>
        <w:t>№ 15/1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2009 год в сумме 155,2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5 с изменениями, внесенными решением Сандыктауского районного маслихата Акмолинской области от 29.04.2009 </w:t>
      </w:r>
      <w:r>
        <w:rPr>
          <w:rFonts w:ascii="Times New Roman"/>
          <w:b w:val="false"/>
          <w:i w:val="false"/>
          <w:color w:val="000000"/>
          <w:sz w:val="28"/>
        </w:rPr>
        <w:t>№ 11/1;</w:t>
      </w:r>
      <w:r>
        <w:rPr>
          <w:rFonts w:ascii="Times New Roman"/>
          <w:b w:val="false"/>
          <w:i/>
          <w:color w:val="800000"/>
          <w:sz w:val="28"/>
        </w:rPr>
        <w:t xml:space="preserve"> 22.07.2009 </w:t>
      </w:r>
      <w:r>
        <w:rPr>
          <w:rFonts w:ascii="Times New Roman"/>
          <w:b w:val="false"/>
          <w:i w:val="false"/>
          <w:color w:val="000000"/>
          <w:sz w:val="28"/>
        </w:rPr>
        <w:t>№ 13/2;</w:t>
      </w:r>
      <w:r>
        <w:rPr>
          <w:rFonts w:ascii="Times New Roman"/>
          <w:b w:val="false"/>
          <w:i/>
          <w:color w:val="800000"/>
          <w:sz w:val="28"/>
        </w:rPr>
        <w:t xml:space="preserve"> 22.10.2009 </w:t>
      </w:r>
      <w:r>
        <w:rPr>
          <w:rFonts w:ascii="Times New Roman"/>
          <w:b w:val="false"/>
          <w:i w:val="false"/>
          <w:color w:val="000000"/>
          <w:sz w:val="28"/>
        </w:rPr>
        <w:t>№ 14/1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 специалистам социального обеспечения, образования и культуры, работающим в аульной (сельской) местности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 согласованного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6-1. </w:t>
      </w:r>
      <w:r>
        <w:rPr>
          <w:rFonts w:ascii="Times New Roman"/>
          <w:b w:val="false"/>
          <w:i w:val="false"/>
          <w:color w:val="000000"/>
          <w:sz w:val="28"/>
        </w:rPr>
        <w:t>учесть, что в бюджете района на 2009 год в установленном законодательством порядке использованы свободные бюджетные остатки,  образовавшиеся на 1 января 2009 года в сумме 16239,9 тысяч тенге, в 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3041,2 тысяч тенге - возврат неиспользованных целевых трансфертов, из них: в республиканский бюджет 1716,6 тысяч тенге и в областной бюджет 1324,6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4388,3 тысяч тенге - разрешенные к использованию в 2009 году, неиспользованные в течение 2008 года суммы целевых трансфертов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Дополнен пунктом 6-1, решением Сандыктауского районного маслихата Акмолинской области от 08.04.2009 </w:t>
      </w:r>
      <w:r>
        <w:rPr>
          <w:rFonts w:ascii="Times New Roman"/>
          <w:b w:val="false"/>
          <w:i w:val="false"/>
          <w:color w:val="000000"/>
          <w:sz w:val="28"/>
        </w:rPr>
        <w:t>№ 10/2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развития бюджета района на 2009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лиц,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районных бюджетных программ, не подлежащих секвестру в процессе исполнения бюджета района на 2009 год, согласно 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аульных (сельских) округов на 2009 год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вступает в силу со дня государственной регистрации в Управлении юстиции Сандыктауского района Акмолиской области и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          А.Вахаев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маслихита                                        Ш.Сабержанов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АкимСандыктауского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19.12.2008г                                      У.Мусабаев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Сандыктауского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19.12.2008г                                      Н.Мурашиди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Сандыктауского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19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8/2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1 в редакции решения Сандыктауского  районного маслихата Акмолинской области от 02.12.2009 </w:t>
      </w:r>
      <w:r>
        <w:rPr>
          <w:rFonts w:ascii="Times New Roman"/>
          <w:b w:val="false"/>
          <w:i w:val="false"/>
          <w:color w:val="000000"/>
          <w:sz w:val="28"/>
        </w:rPr>
        <w:t>№ 15/1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818"/>
        <w:gridCol w:w="938"/>
        <w:gridCol w:w="959"/>
        <w:gridCol w:w="7580"/>
        <w:gridCol w:w="2308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1132977</w:t>
            </w:r>
          </w:p>
        </w:tc>
      </w:tr>
      <w:tr>
        <w:trPr>
          <w:trHeight w:val="48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204479</w:t>
            </w:r>
          </w:p>
        </w:tc>
      </w:tr>
      <w:tr>
        <w:trPr>
          <w:trHeight w:val="4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42150</w:t>
            </w:r>
          </w:p>
        </w:tc>
      </w:tr>
      <w:tr>
        <w:trPr>
          <w:trHeight w:val="4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42150</w:t>
            </w:r>
          </w:p>
        </w:tc>
      </w:tr>
      <w:tr>
        <w:trPr>
          <w:trHeight w:val="51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95745</w:t>
            </w:r>
          </w:p>
        </w:tc>
      </w:tr>
      <w:tr>
        <w:trPr>
          <w:trHeight w:val="4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95745</w:t>
            </w:r>
          </w:p>
        </w:tc>
      </w:tr>
      <w:tr>
        <w:trPr>
          <w:trHeight w:val="4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52968</w:t>
            </w:r>
          </w:p>
        </w:tc>
      </w:tr>
      <w:tr>
        <w:trPr>
          <w:trHeight w:val="43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27011</w:t>
            </w:r>
          </w:p>
        </w:tc>
      </w:tr>
      <w:tr>
        <w:trPr>
          <w:trHeight w:val="40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</w:t>
            </w:r>
          </w:p>
        </w:tc>
      </w:tr>
      <w:tr>
        <w:trPr>
          <w:trHeight w:val="4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21470</w:t>
            </w:r>
          </w:p>
        </w:tc>
      </w:tr>
      <w:tr>
        <w:trPr>
          <w:trHeight w:val="4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3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</w:t>
            </w:r>
          </w:p>
        </w:tc>
      </w:tr>
      <w:tr>
        <w:trPr>
          <w:trHeight w:val="3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5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43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</w:p>
        </w:tc>
      </w:tr>
      <w:tr>
        <w:trPr>
          <w:trHeight w:val="11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 )выдачу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4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4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</w:t>
            </w:r>
          </w:p>
        </w:tc>
      </w:tr>
      <w:tr>
        <w:trPr>
          <w:trHeight w:val="51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</w:p>
        </w:tc>
      </w:tr>
      <w:tr>
        <w:trPr>
          <w:trHeight w:val="73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</w:p>
        </w:tc>
      </w:tr>
      <w:tr>
        <w:trPr>
          <w:trHeight w:val="14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</w:t>
            </w:r>
          </w:p>
        </w:tc>
      </w:tr>
      <w:tr>
        <w:trPr>
          <w:trHeight w:val="17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</w:t>
            </w:r>
          </w:p>
        </w:tc>
      </w:tr>
      <w:tr>
        <w:trPr>
          <w:trHeight w:val="40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40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46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4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43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917977</w:t>
            </w:r>
          </w:p>
        </w:tc>
      </w:tr>
      <w:tr>
        <w:trPr>
          <w:trHeight w:val="6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917977</w:t>
            </w:r>
          </w:p>
        </w:tc>
      </w:tr>
      <w:tr>
        <w:trPr>
          <w:trHeight w:val="4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818"/>
        <w:gridCol w:w="777"/>
        <w:gridCol w:w="959"/>
        <w:gridCol w:w="7761"/>
        <w:gridCol w:w="2308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</w:t>
            </w:r>
          </w:p>
        </w:tc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1132916,9</w:t>
            </w:r>
          </w:p>
        </w:tc>
      </w:tr>
      <w:tr>
        <w:trPr>
          <w:trHeight w:val="4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134767,2</w:t>
            </w:r>
          </w:p>
        </w:tc>
      </w:tr>
      <w:tr>
        <w:trPr>
          <w:trHeight w:val="7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114232</w:t>
            </w:r>
          </w:p>
        </w:tc>
      </w:tr>
      <w:tr>
        <w:trPr>
          <w:trHeight w:val="3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</w:t>
            </w:r>
          </w:p>
        </w:tc>
      </w:tr>
      <w:tr>
        <w:trPr>
          <w:trHeight w:val="4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</w:t>
            </w:r>
          </w:p>
        </w:tc>
      </w:tr>
      <w:tr>
        <w:trPr>
          <w:trHeight w:val="4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31083</w:t>
            </w:r>
          </w:p>
        </w:tc>
      </w:tr>
      <w:tr>
        <w:trPr>
          <w:trHeight w:val="7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31083</w:t>
            </w:r>
          </w:p>
        </w:tc>
      </w:tr>
      <w:tr>
        <w:trPr>
          <w:trHeight w:val="8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73997</w:t>
            </w:r>
          </w:p>
        </w:tc>
      </w:tr>
      <w:tr>
        <w:trPr>
          <w:trHeight w:val="109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73997</w:t>
            </w:r>
          </w:p>
        </w:tc>
      </w:tr>
      <w:tr>
        <w:trPr>
          <w:trHeight w:val="4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11171,2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финансов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11171,2</w:t>
            </w:r>
          </w:p>
        </w:tc>
      </w:tr>
      <w:tr>
        <w:trPr>
          <w:trHeight w:val="4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7985,4</w:t>
            </w:r>
          </w:p>
        </w:tc>
      </w:tr>
      <w:tr>
        <w:trPr>
          <w:trHeight w:val="4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166,8</w:t>
            </w:r>
          </w:p>
        </w:tc>
      </w:tr>
      <w:tr>
        <w:trPr>
          <w:trHeight w:val="7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</w:tr>
      <w:tr>
        <w:trPr>
          <w:trHeight w:val="7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</w:t>
            </w:r>
          </w:p>
        </w:tc>
      </w:tr>
      <w:tr>
        <w:trPr>
          <w:trHeight w:val="7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</w:t>
            </w:r>
          </w:p>
        </w:tc>
      </w:tr>
      <w:tr>
        <w:trPr>
          <w:trHeight w:val="6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</w:t>
            </w:r>
          </w:p>
        </w:tc>
      </w:tr>
      <w:tr>
        <w:trPr>
          <w:trHeight w:val="3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4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7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4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7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  пунктах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631069,2</w:t>
            </w:r>
          </w:p>
        </w:tc>
      </w:tr>
      <w:tr>
        <w:trPr>
          <w:trHeight w:val="3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586115,5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586115,5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574493,5</w:t>
            </w:r>
          </w:p>
        </w:tc>
      </w:tr>
      <w:tr>
        <w:trPr>
          <w:trHeight w:val="3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</w:t>
            </w:r>
          </w:p>
        </w:tc>
      </w:tr>
      <w:tr>
        <w:trPr>
          <w:trHeight w:val="3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44953,7</w:t>
            </w:r>
          </w:p>
        </w:tc>
      </w:tr>
      <w:tr>
        <w:trPr>
          <w:trHeight w:val="3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44176,7</w:t>
            </w:r>
          </w:p>
        </w:tc>
      </w:tr>
      <w:tr>
        <w:trPr>
          <w:trHeight w:val="4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</w:t>
            </w:r>
          </w:p>
        </w:tc>
      </w:tr>
      <w:tr>
        <w:trPr>
          <w:trHeight w:val="7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3265,9</w:t>
            </w:r>
          </w:p>
        </w:tc>
      </w:tr>
      <w:tr>
        <w:trPr>
          <w:trHeight w:val="7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 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6543,5</w:t>
            </w:r>
          </w:p>
        </w:tc>
      </w:tr>
      <w:tr>
        <w:trPr>
          <w:trHeight w:val="7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25626,3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4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4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47864,4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38430,1</w:t>
            </w:r>
          </w:p>
        </w:tc>
      </w:tr>
      <w:tr>
        <w:trPr>
          <w:trHeight w:val="7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38430,1</w:t>
            </w:r>
          </w:p>
        </w:tc>
      </w:tr>
      <w:tr>
        <w:trPr>
          <w:trHeight w:val="4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22231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</w:p>
        </w:tc>
      </w:tr>
      <w:tr>
        <w:trPr>
          <w:trHeight w:val="7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  граждан по решениям местных представительных органов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</w:p>
        </w:tc>
      </w:tr>
      <w:tr>
        <w:trPr>
          <w:trHeight w:val="6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304,5</w:t>
            </w:r>
          </w:p>
        </w:tc>
      </w:tr>
      <w:tr>
        <w:trPr>
          <w:trHeight w:val="4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2383,2</w:t>
            </w:r>
          </w:p>
        </w:tc>
      </w:tr>
      <w:tr>
        <w:trPr>
          <w:trHeight w:val="4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  на детей до 18 лет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12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индивидульными помощниками в соответствии с индивидуальной программой реабилитации инвалида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1932,4</w:t>
            </w:r>
          </w:p>
        </w:tc>
      </w:tr>
      <w:tr>
        <w:trPr>
          <w:trHeight w:val="6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9434,3</w:t>
            </w:r>
          </w:p>
        </w:tc>
      </w:tr>
      <w:tr>
        <w:trPr>
          <w:trHeight w:val="6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9434,3</w:t>
            </w:r>
          </w:p>
        </w:tc>
      </w:tr>
      <w:tr>
        <w:trPr>
          <w:trHeight w:val="6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9313,3</w:t>
            </w:r>
          </w:p>
        </w:tc>
      </w:tr>
      <w:tr>
        <w:trPr>
          <w:trHeight w:val="7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4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142935,3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54454,3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54454,3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39375,9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15078,4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82981</w:t>
            </w:r>
          </w:p>
        </w:tc>
      </w:tr>
      <w:tr>
        <w:trPr>
          <w:trHeight w:val="7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</w:tr>
      <w:tr>
        <w:trPr>
          <w:trHeight w:val="4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</w:t>
            </w:r>
          </w:p>
        </w:tc>
      </w:tr>
      <w:tr>
        <w:trPr>
          <w:trHeight w:val="9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63777</w:t>
            </w:r>
          </w:p>
        </w:tc>
      </w:tr>
      <w:tr>
        <w:trPr>
          <w:trHeight w:val="4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</w:p>
        </w:tc>
      </w:tr>
      <w:tr>
        <w:trPr>
          <w:trHeight w:val="10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58497</w:t>
            </w:r>
          </w:p>
        </w:tc>
      </w:tr>
      <w:tr>
        <w:trPr>
          <w:trHeight w:val="4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3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</w:p>
        </w:tc>
      </w:tr>
      <w:tr>
        <w:trPr>
          <w:trHeight w:val="4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</w:p>
        </w:tc>
      </w:tr>
      <w:tr>
        <w:trPr>
          <w:trHeight w:val="4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4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4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95958,7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61044</w:t>
            </w:r>
          </w:p>
        </w:tc>
      </w:tr>
      <w:tr>
        <w:trPr>
          <w:trHeight w:val="6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61044</w:t>
            </w:r>
          </w:p>
        </w:tc>
      </w:tr>
      <w:tr>
        <w:trPr>
          <w:trHeight w:val="3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61044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</w:p>
        </w:tc>
      </w:tr>
      <w:tr>
        <w:trPr>
          <w:trHeight w:val="4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  культуры и спорта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</w:p>
        </w:tc>
      </w:tr>
      <w:tr>
        <w:trPr>
          <w:trHeight w:val="7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9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3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21328,7</w:t>
            </w:r>
          </w:p>
        </w:tc>
      </w:tr>
      <w:tr>
        <w:trPr>
          <w:trHeight w:val="7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17169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13735</w:t>
            </w:r>
          </w:p>
        </w:tc>
      </w:tr>
      <w:tr>
        <w:trPr>
          <w:trHeight w:val="4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</w:t>
            </w:r>
          </w:p>
        </w:tc>
      </w:tr>
      <w:tr>
        <w:trPr>
          <w:trHeight w:val="3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4159,7</w:t>
            </w:r>
          </w:p>
        </w:tc>
      </w:tr>
      <w:tr>
        <w:trPr>
          <w:trHeight w:val="7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4159,7</w:t>
            </w:r>
          </w:p>
        </w:tc>
      </w:tr>
      <w:tr>
        <w:trPr>
          <w:trHeight w:val="6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4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культуры и развития языков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</w:t>
            </w:r>
          </w:p>
        </w:tc>
      </w:tr>
      <w:tr>
        <w:trPr>
          <w:trHeight w:val="4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</w:t>
            </w:r>
          </w:p>
        </w:tc>
      </w:tr>
      <w:tr>
        <w:trPr>
          <w:trHeight w:val="4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</w:t>
            </w:r>
          </w:p>
        </w:tc>
      </w:tr>
      <w:tr>
        <w:trPr>
          <w:trHeight w:val="3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  внутренней политики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</w:t>
            </w:r>
          </w:p>
        </w:tc>
      </w:tr>
      <w:tr>
        <w:trPr>
          <w:trHeight w:val="3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4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4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10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43567,1</w:t>
            </w:r>
          </w:p>
        </w:tc>
      </w:tr>
      <w:tr>
        <w:trPr>
          <w:trHeight w:val="3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11355,6</w:t>
            </w:r>
          </w:p>
        </w:tc>
      </w:tr>
      <w:tr>
        <w:trPr>
          <w:trHeight w:val="4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11355,6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</w:t>
            </w:r>
          </w:p>
        </w:tc>
      </w:tr>
      <w:tr>
        <w:trPr>
          <w:trHeight w:val="9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3447,6</w:t>
            </w:r>
          </w:p>
        </w:tc>
      </w:tr>
      <w:tr>
        <w:trPr>
          <w:trHeight w:val="3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26833</w:t>
            </w:r>
          </w:p>
        </w:tc>
      </w:tr>
      <w:tr>
        <w:trPr>
          <w:trHeight w:val="4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26833</w:t>
            </w:r>
          </w:p>
        </w:tc>
      </w:tr>
      <w:tr>
        <w:trPr>
          <w:trHeight w:val="4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26833</w:t>
            </w:r>
          </w:p>
        </w:tc>
      </w:tr>
      <w:tr>
        <w:trPr>
          <w:trHeight w:val="3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5378,5</w:t>
            </w:r>
          </w:p>
        </w:tc>
      </w:tr>
      <w:tr>
        <w:trPr>
          <w:trHeight w:val="3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5378,5</w:t>
            </w:r>
          </w:p>
        </w:tc>
      </w:tr>
      <w:tr>
        <w:trPr>
          <w:trHeight w:val="3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</w:tr>
      <w:tr>
        <w:trPr>
          <w:trHeight w:val="4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2159,5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</w:p>
        </w:tc>
      </w:tr>
      <w:tr>
        <w:trPr>
          <w:trHeight w:val="3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</w:p>
        </w:tc>
      </w:tr>
      <w:tr>
        <w:trPr>
          <w:trHeight w:val="4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3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4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</w:t>
            </w:r>
          </w:p>
        </w:tc>
      </w:tr>
      <w:tr>
        <w:trPr>
          <w:trHeight w:val="3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</w:p>
        </w:tc>
      </w:tr>
      <w:tr>
        <w:trPr>
          <w:trHeight w:val="10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</w:tr>
      <w:tr>
        <w:trPr>
          <w:trHeight w:val="4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15546,2</w:t>
            </w:r>
          </w:p>
        </w:tc>
      </w:tr>
      <w:tr>
        <w:trPr>
          <w:trHeight w:val="3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</w:t>
            </w:r>
          </w:p>
        </w:tc>
      </w:tr>
      <w:tr>
        <w:trPr>
          <w:trHeight w:val="8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79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6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11314,2</w:t>
            </w:r>
          </w:p>
        </w:tc>
      </w:tr>
      <w:tr>
        <w:trPr>
          <w:trHeight w:val="8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11314,2</w:t>
            </w:r>
          </w:p>
        </w:tc>
      </w:tr>
      <w:tr>
        <w:trPr>
          <w:trHeight w:val="8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11314,2</w:t>
            </w:r>
          </w:p>
        </w:tc>
      </w:tr>
      <w:tr>
        <w:trPr>
          <w:trHeight w:val="4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8066,6</w:t>
            </w:r>
          </w:p>
        </w:tc>
      </w:tr>
      <w:tr>
        <w:trPr>
          <w:trHeight w:val="4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</w:tr>
      <w:tr>
        <w:trPr>
          <w:trHeight w:val="4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</w:tr>
      <w:tr>
        <w:trPr>
          <w:trHeight w:val="3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4685,6</w:t>
            </w:r>
          </w:p>
        </w:tc>
      </w:tr>
      <w:tr>
        <w:trPr>
          <w:trHeight w:val="4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155,2</w:t>
            </w:r>
          </w:p>
        </w:tc>
      </w:tr>
      <w:tr>
        <w:trPr>
          <w:trHeight w:val="6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155,2</w:t>
            </w:r>
          </w:p>
        </w:tc>
      </w:tr>
      <w:tr>
        <w:trPr>
          <w:trHeight w:val="7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 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4530,4</w:t>
            </w:r>
          </w:p>
        </w:tc>
      </w:tr>
      <w:tr>
        <w:trPr>
          <w:trHeight w:val="7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4530,4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3041,2</w:t>
            </w:r>
          </w:p>
        </w:tc>
      </w:tr>
      <w:tr>
        <w:trPr>
          <w:trHeight w:val="3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3041,2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3041,2</w:t>
            </w:r>
          </w:p>
        </w:tc>
      </w:tr>
      <w:tr>
        <w:trPr>
          <w:trHeight w:val="3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3041,2</w:t>
            </w:r>
          </w:p>
        </w:tc>
      </w:tr>
      <w:tr>
        <w:trPr>
          <w:trHeight w:val="4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 с финансовыми активами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3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3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3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финансов района (города областного значения)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4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4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-16239,9</w:t>
            </w:r>
          </w:p>
        </w:tc>
      </w:tr>
      <w:tr>
        <w:trPr>
          <w:trHeight w:val="6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16239,9</w:t>
            </w:r>
          </w:p>
        </w:tc>
      </w:tr>
      <w:tr>
        <w:trPr>
          <w:trHeight w:val="4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16239,9</w:t>
            </w:r>
          </w:p>
        </w:tc>
      </w:tr>
      <w:tr>
        <w:trPr>
          <w:trHeight w:val="3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16239,9</w:t>
            </w:r>
          </w:p>
        </w:tc>
      </w:tr>
      <w:tr>
        <w:trPr>
          <w:trHeight w:val="3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16239,9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Сандыктауского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19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8/2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Приложение 1 в редакции решения Сандыктауского  районного маслихата Акмолинской области от 22.07.2009 </w:t>
      </w:r>
      <w:r>
        <w:rPr>
          <w:rFonts w:ascii="Times New Roman"/>
          <w:b w:val="false"/>
          <w:i w:val="false"/>
          <w:color w:val="000000"/>
          <w:sz w:val="28"/>
        </w:rPr>
        <w:t>№ 13/2</w:t>
      </w:r>
      <w:r>
        <w:rPr>
          <w:rFonts w:ascii="Times New Roman"/>
          <w:b w:val="false"/>
          <w:i w:val="false"/>
          <w:color w:val="000000"/>
          <w:sz w:val="28"/>
        </w:rPr>
        <w:t>  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 развития бюджета района на 2009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 разделением на бюджетные программы, направленные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реализацию бюджетных инвестиционных проектов (программ)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783"/>
        <w:gridCol w:w="815"/>
        <w:gridCol w:w="891"/>
        <w:gridCol w:w="976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18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8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8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</w:tr>
      <w:tr>
        <w:trPr>
          <w:trHeight w:val="28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</w:p>
        </w:tc>
      </w:tr>
      <w:tr>
        <w:trPr>
          <w:trHeight w:val="37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54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4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приобретения жилья государственного коммунального жилищного фонда</w:t>
            </w:r>
          </w:p>
        </w:tc>
      </w:tr>
      <w:tr>
        <w:trPr>
          <w:trHeight w:val="58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Развитие,обустройство и (или) приобретение инженерно-коммуникационной инфраструктуры</w:t>
            </w:r>
          </w:p>
        </w:tc>
      </w:tr>
      <w:tr>
        <w:trPr>
          <w:trHeight w:val="42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94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1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72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 увеличение уставного капитала юридических лиц</w:t>
            </w:r>
          </w:p>
        </w:tc>
      </w:tr>
      <w:tr>
        <w:trPr>
          <w:trHeight w:val="28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4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52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Сандыктауского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19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8/2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районных бюджетных программ, не подлежащих секвестру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 процессе исполнения бюджета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152"/>
        <w:gridCol w:w="1373"/>
        <w:gridCol w:w="1433"/>
        <w:gridCol w:w="8130"/>
      </w:tblGrid>
      <w:tr>
        <w:trPr>
          <w:trHeight w:val="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гр.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Подфунк.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Сандыктауского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19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8/2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Приложение 4 в редакции решения Сандыктауского  районного маслихата Акмолинской области от 22.10.2009 </w:t>
      </w:r>
      <w:r>
        <w:rPr>
          <w:rFonts w:ascii="Times New Roman"/>
          <w:b w:val="false"/>
          <w:i w:val="false"/>
          <w:color w:val="000000"/>
          <w:sz w:val="28"/>
        </w:rPr>
        <w:t>№ 14/1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 аульных (сельских)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округов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876"/>
        <w:gridCol w:w="897"/>
        <w:gridCol w:w="1185"/>
        <w:gridCol w:w="7250"/>
        <w:gridCol w:w="229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99866,7</w:t>
            </w:r>
          </w:p>
        </w:tc>
      </w:tr>
      <w:tr>
        <w:trPr>
          <w:trHeight w:val="7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73997</w:t>
            </w:r>
          </w:p>
        </w:tc>
      </w:tr>
      <w:tr>
        <w:trPr>
          <w:trHeight w:val="88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73997</w:t>
            </w:r>
          </w:p>
        </w:tc>
      </w:tr>
      <w:tr>
        <w:trPr>
          <w:trHeight w:val="6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73997</w:t>
            </w:r>
          </w:p>
        </w:tc>
      </w:tr>
      <w:tr>
        <w:trPr>
          <w:trHeight w:val="9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73997</w:t>
            </w:r>
          </w:p>
        </w:tc>
      </w:tr>
      <w:tr>
        <w:trPr>
          <w:trHeight w:val="18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</w:t>
            </w:r>
          </w:p>
        </w:tc>
      </w:tr>
      <w:tr>
        <w:trPr>
          <w:trHeight w:val="40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</w:tr>
      <w:tr>
        <w:trPr>
          <w:trHeight w:val="96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</w:tr>
      <w:tr>
        <w:trPr>
          <w:trHeight w:val="73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</w:t>
            </w:r>
          </w:p>
        </w:tc>
      </w:tr>
      <w:tr>
        <w:trPr>
          <w:trHeight w:val="115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97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1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</w:p>
        </w:tc>
      </w:tr>
      <w:tr>
        <w:trPr>
          <w:trHeight w:val="49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</w:p>
        </w:tc>
      </w:tr>
      <w:tr>
        <w:trPr>
          <w:trHeight w:val="40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9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1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15295,7</w:t>
            </w:r>
          </w:p>
        </w:tc>
      </w:tr>
      <w:tr>
        <w:trPr>
          <w:trHeight w:val="3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13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10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42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11333,7</w:t>
            </w:r>
          </w:p>
        </w:tc>
      </w:tr>
      <w:tr>
        <w:trPr>
          <w:trHeight w:val="14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11333,7</w:t>
            </w:r>
          </w:p>
        </w:tc>
      </w:tr>
      <w:tr>
        <w:trPr>
          <w:trHeight w:val="9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0"/>
        <w:gridCol w:w="1517"/>
        <w:gridCol w:w="1659"/>
        <w:gridCol w:w="1599"/>
        <w:gridCol w:w="1619"/>
        <w:gridCol w:w="1538"/>
        <w:gridCol w:w="1782"/>
        <w:gridCol w:w="1966"/>
      </w:tblGrid>
      <w:tr>
        <w:trPr>
          <w:trHeight w:val="30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по аульным(сельским) округам</w:t>
            </w:r>
          </w:p>
        </w:tc>
      </w:tr>
      <w:tr>
        <w:trPr>
          <w:trHeight w:val="315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Берлик-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255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34092,7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12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27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18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21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12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65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35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15295,7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15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45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11333,7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11333,7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11333,7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5"/>
        <w:gridCol w:w="1798"/>
        <w:gridCol w:w="1818"/>
        <w:gridCol w:w="2448"/>
        <w:gridCol w:w="2285"/>
        <w:gridCol w:w="1596"/>
        <w:gridCol w:w="1820"/>
      </w:tblGrid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по аульным(сельским) округам</w:t>
            </w:r>
          </w:p>
        </w:tc>
      </w:tr>
      <w:tr>
        <w:trPr>
          <w:trHeight w:val="315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Мадениет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овский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Хлебный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255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42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</w:t>
            </w:r>
          </w:p>
        </w:tc>
      </w:tr>
      <w:tr>
        <w:trPr>
          <w:trHeight w:val="12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</w:t>
            </w:r>
          </w:p>
        </w:tc>
      </w:tr>
      <w:tr>
        <w:trPr>
          <w:trHeight w:val="525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</w:t>
            </w:r>
          </w:p>
        </w:tc>
      </w:tr>
      <w:tr>
        <w:trPr>
          <w:trHeight w:val="15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</w:t>
            </w:r>
          </w:p>
        </w:tc>
      </w:tr>
      <w:tr>
        <w:trPr>
          <w:trHeight w:val="39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</w:t>
            </w:r>
          </w:p>
        </w:tc>
      </w:tr>
      <w:tr>
        <w:trPr>
          <w:trHeight w:val="12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