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7d1f" w14:textId="323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и минеральных ресурсов Республики Казахстан от 15 февраля 2010 года № 30 и Министра экономики и бюджетного планирования Республики Казахстан от 18 февраля 2010 года № 72. Зарегистрирован в Министерстве юстиции Республики Казахстан 20 февраля 2010 года № 6078. Утратил силу совместным приказом и.о. Министра индустрии и новых технологий Республики Казахстан от 27 сентября 2011 года № 349 и и.о. Министра экономического развития и торговли Республики Казахстан от 1 октября 2011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новых технологий РК от 27.09.2011 № 349 и и.о. Министра экономического развития и торговли РК от 01.10.2011 № 324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энергетики и минеральных ресурсов Республики Казахстан (Ужкенов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и минеральных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энергетики и минеральных ресурсов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экономики и             И.о.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      _____________ Д. Турганов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30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недропользования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недропользования (далее - Критерии) разработаны в соответствии с Законами Республики Казахстан от 27 января 1996 года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 и от 31 января 2006 года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уполномоченным органом по изучению и использованию недр субъектов, осуществляющих деятельность в сфере недропользования, по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недропользования - вероятность причинения вреда состоянию недр, минерально-сырьевой базе в результате деятельности субъектов в сфере недропользования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в сфере недропользования - недропользователь, обладающий правом на проведение операций по недропользованию по отдельному контракту.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рисков и распределение субъектов контроля в сфере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недропользования по категориям риска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рисков в сфере недропользования осуществляется путем первичного и последующего распределения субъектов контроля в сфере недропользования по категориям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распределении, субъекты контроля в сфере недропользования подразделяются на 3 категории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1 категории - высокой степени риска относятся следующие субъекты контроля в сфере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твердых полезных ископаемых,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подземных вод для водоснабжения областных центров и крупных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2 категории - средней степени риска относятся следующие субъекты контроля в сфере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твердых полезных ископаемых,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и добыче общераспространенных полезных ископаемых и подземных вод, за исключением крупных;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3 категории - незначительной степени риска относятся следующие субъекты контроля в сфере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и добыче подземных вод для водообеспечения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строительству и (или) эксплуатации подземных сооружений, не связанных с разведкой и (или)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последующем распределении субъектов контроля в сфере недропользования, каждому субъекту присваиваются соответствующие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плановых объемов добычи: до 50 %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70 %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70 % до 90 %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90 % до 95 %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плановых объемов вскрыши: до 50 %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70 %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70 % до 90 %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90 % до 95 %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Календарного графика разработки месторождения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работ в несогласованных направлениях и объемах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нормативов потерь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необеспечение достоверного учета добычи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программ утилизации газа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сверхнормативное сжигание газа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фонда скважин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объемов закачки рабочего агента (воды, газа) для поднятия пластового давления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работ по обустройству месторождения согласно проекта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технического состояния скважин при строительстве и эксплуатации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графика проведения геологоразведочных работ согласно Рабочей программы и проектов разведки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объемов исследовательских работ при пробной эксплуатации объекта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мониторинга подземных вод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первичного учета водоотбора на водозаборных сооружениях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80 баллов будут отнесены к 1-ой категории - высокого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 до 80 баллов ко 2-ой категории - среднего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30 баллов к 3-ей категории -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период деятельности, субъекты контроля в сфере недропользования при допущении нарушений могут переходить из категории низкой степени риска в более высокую степень риска и обратно, с соответствующей кратностью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Очередность проведения проверок внутри одной группы риска будет определяться: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объемам добычи;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наибольшей сумме набранных баллов.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