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f8dc" w14:textId="833f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28 декабря 2010 года N 30/235-IV. Зарегистрировано Управлением юстиции города Курчатова Департамента юстиции Восточно-Казахстанской области 30 декабря 2010 года за N 5-3-98.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5 января 2012 года N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05.01.2012 N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декабря 2010 года № 26/310-IV «Об областном бюджете на 2011-2013 годы», (зарегистрировано в Реестре государственной регистрации нормативных правовых актов за номером 2541 от 27 декабря 2010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Курчатов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1 026 848,3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572 658,0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9 972,0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439 984,3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1 030 899,1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14 900,4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15 505,0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- 18 951,2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- 18 951,2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Курчатовского городского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N 36/305-IV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Городскому управлению казначейства с 1 января 2011 года производить зачисление сумм доходов в соответствующие бюджеты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2011 год субвенции, передаваемой из областного бюджета, в сумме 45016,0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«Утвердить резерв местного исполнительного органа города на 2011 год в сумме 11672,4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Курчатовского городского маслихата Восточно-Казахстанской области от 30.09.2011 </w:t>
      </w:r>
      <w:r>
        <w:rPr>
          <w:rFonts w:ascii="Times New Roman"/>
          <w:b w:val="false"/>
          <w:i w:val="false"/>
          <w:color w:val="000000"/>
          <w:sz w:val="28"/>
        </w:rPr>
        <w:t>N 34/295-IV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городских бюджетных программ, не подлежащих секвестру в процессе исполнения городского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2011 год текущие трансферты из областного бюджета на социальную помощь отдельным категориям нуждающихся граждан в сумме 29153,0 тысячи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24512,0 тысяч тенге –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4006,0 тысяч тенге -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385,0 тысяч тенге -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 – 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250,0 тысяч тенге - на оказание единовременной материальной помощи многодетным матерям, имеющим 4 и более совместно проживающих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Курчатовского городского маслихата Восточно-Казахстанской области от 30.09.2011 </w:t>
      </w:r>
      <w:r>
        <w:rPr>
          <w:rFonts w:ascii="Times New Roman"/>
          <w:b w:val="false"/>
          <w:i w:val="false"/>
          <w:color w:val="000000"/>
          <w:sz w:val="28"/>
        </w:rPr>
        <w:t>N 34/295-IV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7-1. Предусмотреть в городском бюджете на 2011 год целевые текущие трансферты из областного бюджета в сумме 1769,0 тысяч тенге на проведение марафона-эстафеты «Расцвет села – расцвет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Предусмотреть в городском бюджете на 2011 год целевые трансферты на развитие из областного бюджета в сумме 59765,3 тысячи тенге на завершение строительства полигона твердых бытовых отходов в городе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пунктами 7-1, 7-2 в соответствии с решением Курчатовского городского маслихата Восточно-Казахстанской области от 18.03.2011 </w:t>
      </w:r>
      <w:r>
        <w:rPr>
          <w:rFonts w:ascii="Times New Roman"/>
          <w:b w:val="false"/>
          <w:i w:val="false"/>
          <w:color w:val="000000"/>
          <w:sz w:val="28"/>
        </w:rPr>
        <w:t>№ 32/256-IV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7-3. Предусмотреть в городском бюджете на 2011 год целевые текущие трансферты из областного бюджета в сумме 38627,0 тысяч тенге на благоустройство и очистку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7-4. Предусмотреть в городском бюджете на 2011 год целевые текущие трансферты из областного бюджета в сумме 201863,0 тысяч тенге на средний ремонт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пунктами 7-3, 7-4 в соответствии с решением Курчатовского городского маслихата Восточно-Казахстанской области от 20.06.2011 </w:t>
      </w:r>
      <w:r>
        <w:rPr>
          <w:rFonts w:ascii="Times New Roman"/>
          <w:b w:val="false"/>
          <w:i w:val="false"/>
          <w:color w:val="000000"/>
          <w:sz w:val="28"/>
        </w:rPr>
        <w:t>№ 33/273-IV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7-5. Предусмотреть в городском бюджете на 2011 год целевые текущие трансферты из областного бюджета в сумме 450,0 тысяч тенге на благоустройство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7-5 в соответствии с решением Курчатовского городского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N 36/305-IV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городском бюджете на 2011 год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683,0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8733,0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500,0 тысяч тенге – на обеспечение оборудованием, программным обеспечением детей –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2299,0 тысяч тенге – на ежемесячную выплату денежных средств опекунам (попечителям) на содержание ребенка сироты (детей – 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2088,0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1144,0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5426,0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решением Курчатовского городского маслихата Восточно-Казахстанской области от 18.03.2011 </w:t>
      </w:r>
      <w:r>
        <w:rPr>
          <w:rFonts w:ascii="Times New Roman"/>
          <w:b w:val="false"/>
          <w:i w:val="false"/>
          <w:color w:val="000000"/>
          <w:sz w:val="28"/>
        </w:rPr>
        <w:t>№ 32/256-IV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20.06.2011 </w:t>
      </w:r>
      <w:r>
        <w:rPr>
          <w:rFonts w:ascii="Times New Roman"/>
          <w:b w:val="false"/>
          <w:i w:val="false"/>
          <w:color w:val="000000"/>
          <w:sz w:val="28"/>
        </w:rPr>
        <w:t>N 33/273-IV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30.09.2011 </w:t>
      </w:r>
      <w:r>
        <w:rPr>
          <w:rFonts w:ascii="Times New Roman"/>
          <w:b w:val="false"/>
          <w:i w:val="false"/>
          <w:color w:val="000000"/>
          <w:sz w:val="28"/>
        </w:rPr>
        <w:t>N 34/295-IV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15.11.2011 </w:t>
      </w:r>
      <w:r>
        <w:rPr>
          <w:rFonts w:ascii="Times New Roman"/>
          <w:b w:val="false"/>
          <w:i w:val="false"/>
          <w:color w:val="000000"/>
          <w:sz w:val="28"/>
        </w:rPr>
        <w:t>N 36/305-IV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8-1. Предусмотреть в городском бюджете на 2011 год целевые трансферты на развитие из республиканского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42000,0 тысяч тенге -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8-1 с изменениями, внесенными решением Курчатовского городского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№ 36/305-IV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городском бюджете целевые текущие трансферты из республиканского бюджета на поддержку частного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 на организацию молодежной практики в сумме 468,0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А.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 Ш. ТУЛЕУТАЕВ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30/235-IV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
 бюджет города Курчатов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Курчатовского городского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ff0000"/>
          <w:sz w:val="28"/>
        </w:rPr>
        <w:t>№ 36/305-IV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816"/>
        <w:gridCol w:w="733"/>
        <w:gridCol w:w="877"/>
        <w:gridCol w:w="1186"/>
        <w:gridCol w:w="7053"/>
        <w:gridCol w:w="2710"/>
      </w:tblGrid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1 026 848,3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572 658,0 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219 929,0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219 929,0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187 195,0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12 708,0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19 727,0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190 311,0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190 311,0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190 311,0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79 855,0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37 149,0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35 616,0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12 322,0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24 286,0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4 234,0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9 972,0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439 984,3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439 984,3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439 984,3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293 203,0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101 765,3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773"/>
        <w:gridCol w:w="896"/>
        <w:gridCol w:w="876"/>
        <w:gridCol w:w="1122"/>
        <w:gridCol w:w="6794"/>
        <w:gridCol w:w="2623"/>
      </w:tblGrid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1 030 899,1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91 747,4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74 502,1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54 937,6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собственности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323 870,0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73 574,5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60 158,5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60 158,5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1 769,5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200 098,3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2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71 375,3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6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63 916,5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13 134,5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4 712,5 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32 527,4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бизнеса-2020»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11 672,4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14 900,4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- 18 951,2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18 951,2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Т. ЕЛЬНИКОВА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30/235-IV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Утвержденный бюджет города Курчатов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57"/>
        <w:gridCol w:w="927"/>
        <w:gridCol w:w="757"/>
        <w:gridCol w:w="949"/>
        <w:gridCol w:w="6051"/>
        <w:gridCol w:w="3309"/>
      </w:tblGrid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721 055,0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612 880,0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220 496,0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220 496,0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179 774,0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26 592,0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219 720,0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219 720,0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219 720,0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144 059,0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87 424,0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86 668,0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36 367,0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20 268,0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20 511,0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20 511,0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18 053,0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86 498,0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86 498,0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86 498,0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926"/>
        <w:gridCol w:w="857"/>
        <w:gridCol w:w="1040"/>
        <w:gridCol w:w="5279"/>
        <w:gridCol w:w="3616"/>
      </w:tblGrid>
      <w:tr>
        <w:trPr>
          <w:trHeight w:val="30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705 055,0</w:t>
            </w:r>
          </w:p>
        </w:tc>
      </w:tr>
      <w:tr>
        <w:trPr>
          <w:trHeight w:val="30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91 679,0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73 036,0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58 439,0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377 163,0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321 657,0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321 657,0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301 197,0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40 494,0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65 435,0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46 852,0</w:t>
            </w:r>
          </w:p>
        </w:tc>
      </w:tr>
      <w:tr>
        <w:trPr>
          <w:trHeight w:val="6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46 852,0</w:t>
            </w:r>
          </w:p>
        </w:tc>
      </w:tr>
      <w:tr>
        <w:trPr>
          <w:trHeight w:val="22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63 833,0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13 066,0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12 601,0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5 764,0 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6 837,0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6 637,0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9 241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6 791,0</w:t>
            </w:r>
          </w:p>
        </w:tc>
      </w:tr>
      <w:tr>
        <w:trPr>
          <w:trHeight w:val="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6 791,0</w:t>
            </w:r>
          </w:p>
        </w:tc>
      </w:tr>
      <w:tr>
        <w:trPr>
          <w:trHeight w:val="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6 791,0</w:t>
            </w:r>
          </w:p>
        </w:tc>
      </w:tr>
      <w:tr>
        <w:trPr>
          <w:trHeight w:val="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6 791,0</w:t>
            </w:r>
          </w:p>
        </w:tc>
      </w:tr>
      <w:tr>
        <w:trPr>
          <w:trHeight w:val="6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23 890,0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22 849,0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22 849,0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ситуации природного и техногенного характера на территории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Т. ЕЛЬНИКОВА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30/235-IV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Утвержденный бюджет города Курчатов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61"/>
        <w:gridCol w:w="982"/>
        <w:gridCol w:w="1003"/>
        <w:gridCol w:w="879"/>
        <w:gridCol w:w="6612"/>
        <w:gridCol w:w="2612"/>
      </w:tblGrid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745 392,0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655 703,0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237 562,0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237 562,0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194 156,0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234 988,0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234 988,0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234 988,0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152 558,0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91 881,0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91 089,0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37 426,0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36 363,0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21 947,0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21 947,0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3 624,0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18 053,0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68 012,0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68 012,0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717"/>
        <w:gridCol w:w="800"/>
        <w:gridCol w:w="945"/>
        <w:gridCol w:w="1007"/>
        <w:gridCol w:w="6704"/>
        <w:gridCol w:w="2686"/>
      </w:tblGrid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726 392,0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93 748,0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381 876,0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313 664,0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43 380,0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70 085,0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49 685,0</w:t>
            </w:r>
          </w:p>
        </w:tc>
      </w:tr>
      <w:tr>
        <w:trPr>
          <w:trHeight w:val="6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49 685,0</w:t>
            </w:r>
          </w:p>
        </w:tc>
      </w:tr>
      <w:tr>
        <w:trPr>
          <w:trHeight w:val="2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66 045,0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12 980,0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6 017,0 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5 840,0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6 963,0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6 753,0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6 970,0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6 970,0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6 970,0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6 970,0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ситуации природного и техногенного характера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Т. ЕЛЬНИКОВА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30/235-IV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бюджетных программ,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городского бюджета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1785"/>
        <w:gridCol w:w="1209"/>
        <w:gridCol w:w="8005"/>
      </w:tblGrid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