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62e98" w14:textId="f362e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Агентства Республики Казахстан по регулированию естественных монополий от 20 февраля 2009 года № 57-ОД "Об утверждении Правил дифференциации энергоснабжающими организациями тарифов на электрическую энергию по зонам суток и (или) в зависимости от объемов ее потребления физическими лицами"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Республики Казахстан по регулированию естественных монополий от 8 февраля 2011 года № 47-ОД. Зарегистрирован в Министерстве юстиции Республики Казахстан 16 марта 2009 года № 6823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электроэнергетике",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20 февраля 2009 года № 57-ОД "Об утверждении Правил дифференциации энергоснабжающими организациями тарифов на электрическую энергию по зонам суток и (или) в зависимости от объемов ее потребления физическими лицами" (зарегистрированный в Реестре государственной регистрации нормативных правовых актов за № 5602, опубликованный в "Юридической газете" от 10 апреля 2009 года № 53 (1650)),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дифференциации энергоснабжающими организациями тарифов на электрическую энергию по зонам суток и (или) в зависимости от объемов ее потребления физическими лицами,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"(для физических и юридических лиц)", "(для физических лиц)"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"8-1) дифференцированные тарифы на электрическую энергию по зонам суток - различные в зависимости от времени суток тарифы на электрическую энергию, применяемые для потребителей в соответствии с настоящими Правилами;";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"16) дифференцированные тарифы на электрическую энергию в зависимости от объемов ее потребления - различные в зависимости от объема потребления тарифы на электрическую энергию (двухуровневые или трехуровневые), применяемые для потребителей - физических лиц в соответствии с настоящими Правилами.";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частями второй и третьей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"Если фактический период между снятиями показаний приборов учета электрической энергии потребителя не равен тридцати календарным дням, размер величин потребления электрической энергии корректируется энергоснабжающей организацией или потребителем с учетом продолжительности фактического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Недоиспользованное количество электрической энергии в пределах величины потребления электрической энергии не может быть использовано в следующем месяце.";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"10-1. Плата за потребляемую электрическую энергию по дифференцированным тарифам по объемам потребления определяется с учетом количества проживающих физических лиц, основанием для определения которого является книга регистрации граждан или справка о количестве проживающих физических лиц, заверенная печатью кооператива собственников квартир.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 населенных пунктах кооперативов собственников квартир и книги регистрации у граждан основанием для определения количества проживающих физических лиц является справка о количестве проживающих физических лиц, выданная акимом района в городе, города районного значения, поселка, аула (села), аульного (сельского)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индивидуальных предпринимателей, адвокатов, частных нотариусов и судебных исполнителей, использующих помещения в целях осуществления своей профессиональной деятельности, к количеству проживающих приравнивается количество собственников или нанимателей этих помещений, основанием для определения которого являются правоустанавливающие документы.";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"лиц", "суток и" дополнить словом "дифференцированного"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"лицами" дополнить словами "с применением двухуровневых или трехуровневых тарифов";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"13. При многоставочном учете энергоснабжающие организации используют трехзонную систему учета, за исключением потребителей - физических лиц, расходующих электрическую энергию на бытовые нужды, для которых используется двухзонная система учета.";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 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"Wо - суточный объем потребленной электрической энергии, определенный исходя из среднего значения суточных графиков нагрузки режимных дней (декабрь, июнь) в регионе (энергетической системе), кВт.ч;";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"для соответствующего сезона года"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абзацах четвертом, шестом и восьмом после слова "графика" дополнить словами ", определенный исходя из среднего значения суточных графиков нагрузки режимных дней (декабрь, июнь) в регионе (энергетической системе)"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 </w:t>
      </w:r>
      <w:r>
        <w:rPr>
          <w:rFonts w:ascii="Times New Roman"/>
          <w:b w:val="false"/>
          <w:i w:val="false"/>
          <w:color w:val="000000"/>
          <w:sz w:val="28"/>
        </w:rPr>
        <w:t>пункта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"графика" дополнить словами ", определенный исходя из среднего значения суточных графиков нагрузки режимных дней (декабрь, июнь) в регионе (энергетической системе)";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"с применением двухуровневых тарифов";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"дома" дополнить словами "или техническим паспортом на объект кондоминиума";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"лицами" дополнить словами "с применением двухуровневых тарифов";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главой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Порядок дифференциации энергоснабжающими организациями тарифов на электрическую энергию в зависимости от объемов ее потребления физическими лицами с применением трехуровневых тарифов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37-1. Величины потребления электрической энергии, за превышение которых взимается плата по тарифам второго или третьего уровня, устанавливаются уполномоченным органом по согласованию с местным исполнительным органом (акиматом области, города республиканского значения, столицы) отдельно для физических лиц, использующих и не использующих электрические плиты.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к физическим лицам, использующим электрические плиты, относятся жители домов, не подлежащих газификации в соответствии со СНИПами, либо если проектом строительства дома или техническим паспортом на объект кондоминиума не предусмотрена его газификация.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Величина потребления электрической энергии, за превышение которой взимается плата по тарифу второго уровня (далее - V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), определяется с учетом критериев, создающих у потребителей стимулы для энергосбережения и обеспечивающих социальную защиту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Величина потребления электрической энергии, за превышение которой взимается плата по тарифу третьего уровня (далее - V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), определяется с учетом критериев, создающих стимулы для энергосбережения у потребителей, имеющих наиболее высокое потребление, количество которых не превышает 10-15 % от общего количества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37-2. Тариф первого уровня для физических лиц, использующих электрические плиты (Т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vertAlign w:val="subscript"/>
        </w:rPr>
        <w:t>с э/п</w:t>
      </w:r>
      <w:r>
        <w:rPr>
          <w:rFonts w:ascii="Times New Roman"/>
          <w:b w:val="false"/>
          <w:i w:val="false"/>
          <w:color w:val="000000"/>
          <w:sz w:val="28"/>
        </w:rPr>
        <w:t>), определяется по формуле: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vertAlign w:val="subscript"/>
        </w:rPr>
        <w:t>с э/п</w:t>
      </w:r>
      <w:r>
        <w:rPr>
          <w:rFonts w:ascii="Times New Roman"/>
          <w:b w:val="false"/>
          <w:i w:val="false"/>
          <w:color w:val="000000"/>
          <w:sz w:val="28"/>
        </w:rPr>
        <w:t xml:space="preserve"> = (T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>* W</w:t>
      </w:r>
      <w:r>
        <w:rPr>
          <w:rFonts w:ascii="Times New Roman"/>
          <w:b w:val="false"/>
          <w:i w:val="false"/>
          <w:color w:val="000000"/>
          <w:vertAlign w:val="sub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vertAlign w:val="subscript"/>
        </w:rPr>
        <w:t>с э/п</w:t>
      </w:r>
      <w:r>
        <w:rPr>
          <w:rFonts w:ascii="Times New Roman"/>
          <w:b w:val="false"/>
          <w:i w:val="false"/>
          <w:color w:val="000000"/>
          <w:sz w:val="28"/>
        </w:rPr>
        <w:t xml:space="preserve"> - Т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* W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vertAlign w:val="subscript"/>
        </w:rPr>
        <w:t>с э/п</w:t>
      </w:r>
      <w:r>
        <w:rPr>
          <w:rFonts w:ascii="Times New Roman"/>
          <w:b w:val="false"/>
          <w:i w:val="false"/>
          <w:color w:val="000000"/>
          <w:sz w:val="28"/>
        </w:rPr>
        <w:t xml:space="preserve"> - Т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* W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vertAlign w:val="subscript"/>
        </w:rPr>
        <w:t>с э/п</w:t>
      </w:r>
      <w:r>
        <w:rPr>
          <w:rFonts w:ascii="Times New Roman"/>
          <w:b w:val="false"/>
          <w:i w:val="false"/>
          <w:color w:val="000000"/>
          <w:sz w:val="28"/>
        </w:rPr>
        <w:t>)/W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vertAlign w:val="subscript"/>
        </w:rPr>
        <w:t>с э/п</w:t>
      </w:r>
      <w:r>
        <w:rPr>
          <w:rFonts w:ascii="Times New Roman"/>
          <w:b w:val="false"/>
          <w:i w:val="false"/>
          <w:color w:val="000000"/>
          <w:vertAlign w:val="subscript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где:  (13)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тариф второго уровня, определенный по формуле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тариф третьего уровня, определенный по формуле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vertAlign w:val="subscript"/>
        </w:rPr>
        <w:t>с э/п</w:t>
      </w:r>
      <w:r>
        <w:rPr>
          <w:rFonts w:ascii="Times New Roman"/>
          <w:b w:val="false"/>
          <w:i w:val="false"/>
          <w:color w:val="000000"/>
          <w:sz w:val="28"/>
        </w:rPr>
        <w:t xml:space="preserve"> - фактический объем электрической энергии, потребленной физическими лицами, использующими электрические плиты, за предшествующий календарный год, кВт.ч;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vertAlign w:val="subscript"/>
        </w:rPr>
        <w:t>с э/п</w:t>
      </w:r>
      <w:r>
        <w:rPr>
          <w:rFonts w:ascii="Times New Roman"/>
          <w:b w:val="false"/>
          <w:i w:val="false"/>
          <w:color w:val="000000"/>
          <w:sz w:val="28"/>
        </w:rPr>
        <w:t xml:space="preserve"> - фактический объем электрической энергии, потребленной физическими лицами, использующими электрические плиты, за предшествующий календарный год без превышения V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кВт.ч.;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vertAlign w:val="subscript"/>
        </w:rPr>
        <w:t>с э/п</w:t>
      </w:r>
      <w:r>
        <w:rPr>
          <w:rFonts w:ascii="Times New Roman"/>
          <w:b w:val="false"/>
          <w:i w:val="false"/>
          <w:color w:val="000000"/>
          <w:sz w:val="28"/>
        </w:rPr>
        <w:t xml:space="preserve"> - фактический объем электрической энергии, потребленной физическими лицами, использующими электрические плиты, за предшествующий календарный год с превышением V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но в пределах V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кВт.ч.;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vertAlign w:val="subscript"/>
        </w:rPr>
        <w:t>с э/п</w:t>
      </w:r>
      <w:r>
        <w:rPr>
          <w:rFonts w:ascii="Times New Roman"/>
          <w:b w:val="false"/>
          <w:i w:val="false"/>
          <w:color w:val="000000"/>
          <w:sz w:val="28"/>
        </w:rPr>
        <w:t xml:space="preserve"> - фактический объем электрической энергии, потребленной физическими лицами, использующими электрические плиты, за предшествующий календарный год с превышением V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кВт.ч.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37-3. Тариф первого уровня для физических лиц, не использующих электрические плиты (Т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vertAlign w:val="subscript"/>
        </w:rPr>
        <w:t>без э/п</w:t>
      </w:r>
      <w:r>
        <w:rPr>
          <w:rFonts w:ascii="Times New Roman"/>
          <w:b w:val="false"/>
          <w:i w:val="false"/>
          <w:color w:val="000000"/>
          <w:sz w:val="28"/>
        </w:rPr>
        <w:t xml:space="preserve">), определяется по формуле: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vertAlign w:val="subscript"/>
        </w:rPr>
        <w:t>без э/п</w:t>
      </w:r>
      <w:r>
        <w:rPr>
          <w:rFonts w:ascii="Times New Roman"/>
          <w:b w:val="false"/>
          <w:i w:val="false"/>
          <w:color w:val="000000"/>
          <w:sz w:val="28"/>
        </w:rPr>
        <w:t xml:space="preserve"> = (T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>* W</w:t>
      </w:r>
      <w:r>
        <w:rPr>
          <w:rFonts w:ascii="Times New Roman"/>
          <w:b w:val="false"/>
          <w:i w:val="false"/>
          <w:color w:val="000000"/>
          <w:vertAlign w:val="sub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vertAlign w:val="subscript"/>
        </w:rPr>
        <w:t>без э/п</w:t>
      </w:r>
      <w:r>
        <w:rPr>
          <w:rFonts w:ascii="Times New Roman"/>
          <w:b w:val="false"/>
          <w:i w:val="false"/>
          <w:color w:val="000000"/>
          <w:sz w:val="28"/>
        </w:rPr>
        <w:t xml:space="preserve"> - Т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* W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vertAlign w:val="subscript"/>
        </w:rPr>
        <w:t>без э/п</w:t>
      </w:r>
      <w:r>
        <w:rPr>
          <w:rFonts w:ascii="Times New Roman"/>
          <w:b w:val="false"/>
          <w:i w:val="false"/>
          <w:color w:val="000000"/>
          <w:sz w:val="28"/>
        </w:rPr>
        <w:t xml:space="preserve"> - Т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* W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vertAlign w:val="subscript"/>
        </w:rPr>
        <w:t>без э/п</w:t>
      </w:r>
      <w:r>
        <w:rPr>
          <w:rFonts w:ascii="Times New Roman"/>
          <w:b w:val="false"/>
          <w:i w:val="false"/>
          <w:color w:val="000000"/>
          <w:sz w:val="28"/>
        </w:rPr>
        <w:t>)/W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vertAlign w:val="subscript"/>
        </w:rPr>
        <w:t>без э/п,</w:t>
      </w:r>
      <w:r>
        <w:rPr>
          <w:rFonts w:ascii="Times New Roman"/>
          <w:b w:val="false"/>
          <w:i w:val="false"/>
          <w:color w:val="000000"/>
          <w:sz w:val="28"/>
        </w:rPr>
        <w:t xml:space="preserve"> где:  (14)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W</w:t>
      </w:r>
      <w:r>
        <w:rPr>
          <w:rFonts w:ascii="Times New Roman"/>
          <w:b w:val="false"/>
          <w:i w:val="false"/>
          <w:color w:val="000000"/>
          <w:vertAlign w:val="sub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vertAlign w:val="subscript"/>
        </w:rPr>
        <w:t>без э/п</w:t>
      </w:r>
      <w:r>
        <w:rPr>
          <w:rFonts w:ascii="Times New Roman"/>
          <w:b w:val="false"/>
          <w:i w:val="false"/>
          <w:color w:val="000000"/>
          <w:sz w:val="28"/>
        </w:rPr>
        <w:t xml:space="preserve"> - фактический объем электрической энергии, потребленной физическими лицами, не использующими электрические плиты, за предшествующий календарный год, кВт.ч;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vertAlign w:val="subscript"/>
        </w:rPr>
        <w:t>без э/п</w:t>
      </w:r>
      <w:r>
        <w:rPr>
          <w:rFonts w:ascii="Times New Roman"/>
          <w:b w:val="false"/>
          <w:i w:val="false"/>
          <w:color w:val="000000"/>
          <w:sz w:val="28"/>
        </w:rPr>
        <w:t xml:space="preserve"> - фактический объем электрической энергии, потребленной физическими лицами, не использующими электрические плиты, за предшествующий календарный год без превышения V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кВт.ч.;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vertAlign w:val="subscript"/>
        </w:rPr>
        <w:t>без э/п</w:t>
      </w:r>
      <w:r>
        <w:rPr>
          <w:rFonts w:ascii="Times New Roman"/>
          <w:b w:val="false"/>
          <w:i w:val="false"/>
          <w:color w:val="000000"/>
          <w:sz w:val="28"/>
        </w:rPr>
        <w:t xml:space="preserve"> - фактический объем электрической энергии, потребленной физическими лицами, не использующими электрические плиты, за предшествующий календарный год с превышением V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но в пределах V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кВт.ч.;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vertAlign w:val="subscript"/>
        </w:rPr>
        <w:t>без э/п</w:t>
      </w:r>
      <w:r>
        <w:rPr>
          <w:rFonts w:ascii="Times New Roman"/>
          <w:b w:val="false"/>
          <w:i w:val="false"/>
          <w:color w:val="000000"/>
          <w:sz w:val="28"/>
        </w:rPr>
        <w:t xml:space="preserve"> - фактический объем электрической энергии, потребленной физическими лицами, не использующими электрические плиты, за предшествующий календарный год с превышением V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кВт.ч.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37-4. При расчете дифференцированных тарифов на электрическую энергию в зависимости от объемов ее потребления физическими лицами с применением трехуровневых тарифов тариф второго уровня (Т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), определяется по формуле: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= 1,2 * Tо, где:                                (15)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То - отпускной тариф на электрическую энергию.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37-5. При расчете дифференцированных тарифов на электрическую энергию в зависимости от объемов ее потребления физическими лицами с применением трехуровневых тарифов тариф третьего уровня (Т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), определяется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= 1,5 * Tо, где:                                 (16)</w:t>
      </w:r>
    </w:p>
    <w:bookmarkStart w:name="z2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То - отпускной тариф на электрическую энергию.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37-6. Плата за потребленную электрическую энергию за расчетный месяц (П), определяется по формулам согласно приложению 5 к настоящим Правилам.";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регулированию в сфере электро- и теплоэнергетики Агентства Республики Казахстан по регулированию естественных монополий (Коккозова К.Т.)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административной работы Агентства Республики Казахстан по регулированию естественных монополий (Сулейменова Р.Е.) после государственной регистрации настоящего приказа в Министерстве юстиции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его опубликование в официальных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Территориальным департаментам Агентства Республики Казахстан по регулированию естественных монополий обеспечить поэтапный переход на дифференцированные тарифы на электрическую энергию в зависимости от объемов ее потребления физическими лицами с применением трехуровневых тарифов.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Председателя                          А. Шкарупа </w:t>
      </w:r>
    </w:p>
    <w:bookmarkStart w:name="z3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Председателя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регулированию естественных монополий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февраля 2011 года № 47-ОД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дифференциации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энергоснабжающими организациями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тарифов на электрическую энергию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зонам суток и (или)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зависимости от объемов ее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потребления физическими лицами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7"/>
        <w:gridCol w:w="9923"/>
      </w:tblGrid>
      <w:tr>
        <w:trPr>
          <w:trHeight w:val="30" w:hRule="atLeast"/>
        </w:trPr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фактически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месяц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показаниям прибора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в расчете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потребителя: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Формула расчета платы за потребленную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электрическую энергию за расчетный месяц</w:t>
            </w:r>
          </w:p>
        </w:tc>
      </w:tr>
      <w:tr>
        <w:trPr>
          <w:trHeight w:val="30" w:hRule="atLeast"/>
        </w:trPr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превышает V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 = Т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W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факт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где: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факт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фактический объем потребленной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электрической энергии за расчетный месяц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показаниям прибора учета, кВт.ч</w:t>
            </w:r>
          </w:p>
        </w:tc>
      </w:tr>
      <w:tr>
        <w:trPr>
          <w:trHeight w:val="30" w:hRule="atLeast"/>
        </w:trPr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превышает V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меньше V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 Т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n * W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уст1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+ Т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*(W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факт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n * W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уст1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где: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– количество проживающих физических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уст1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величина потребления электрической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энергии одним физическим лицом, соответствующая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величине первого уровня, кВт.ч</w:t>
            </w:r>
          </w:p>
        </w:tc>
      </w:tr>
      <w:tr>
        <w:trPr>
          <w:trHeight w:val="30" w:hRule="atLeast"/>
        </w:trPr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превышает V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</w:t>
            </w:r>
          </w:p>
        </w:tc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 = Т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n * W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уст1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Т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n * (W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уст2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W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уст1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+ Т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факт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n * W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уст2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где: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уст2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величина потребления электрической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энергии одним физическим лицом, соответствующая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величине второго уровня, кВт.ч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