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fa20a" w14:textId="b2fa2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для всех налогоплательщиков, осушествляющих деятельность на территории Енбекшильдерского района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10 ноября 2011 года № С-37/4. Зарегистрировано Управлением юстиции Енбекшильдерского района Акмолинской области 2 декабря 2011 года № 1-10-148. Утратило силу решением маслихата района Биржан сал Акмолинской области от 29 марта 2018 года № С-22/4.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Биржан сал Акмолинской области от 29.03.2018 </w:t>
      </w:r>
      <w:r>
        <w:rPr>
          <w:rFonts w:ascii="Times New Roman"/>
          <w:b w:val="false"/>
          <w:i w:val="false"/>
          <w:color w:val="ff0000"/>
          <w:sz w:val="28"/>
        </w:rPr>
        <w:t>№ С-22/4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единые ставки фиксированного налога для всех налогоплательщиков, осуществляющих деятельность на территории Енбекшильдерского района Акмолинской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"Об установлении единых ставок фиксированного налога для всех налогоплательщиков, осуществляющих деятельность на территории Енбекшильдерского района Акмолинской области" от 15 июня 2009 года № С-16/3 (зарегистрировано в Реестре государственной регистрации нормативных правовых актов за № 1-10-88, опубликовано в газетах от 19 июня 2009 года "Жаңа дәуір" и 20 июня 2009 года "Сельская новь").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К.Хамитова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М.Исажанов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Енбекшильдерского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Т.Хамитов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"Налоговое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по Енбекшильдерскому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району Налогового департамента по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 Налогового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С-37/4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 для всех</w:t>
      </w:r>
      <w:r>
        <w:br/>
      </w:r>
      <w:r>
        <w:rPr>
          <w:rFonts w:ascii="Times New Roman"/>
          <w:b/>
          <w:i w:val="false"/>
          <w:color w:val="000000"/>
        </w:rPr>
        <w:t>налогоплательщиков, осуществляющих деятельность</w:t>
      </w:r>
      <w:r>
        <w:br/>
      </w:r>
      <w:r>
        <w:rPr>
          <w:rFonts w:ascii="Times New Roman"/>
          <w:b/>
          <w:i w:val="false"/>
          <w:color w:val="000000"/>
        </w:rPr>
        <w:t>на территории Енбекшильдерского района Акмолинской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0"/>
        <w:gridCol w:w="6285"/>
        <w:gridCol w:w="4415"/>
      </w:tblGrid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 (боулинг, кегельбан)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