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fecd" w14:textId="5a3f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Каркаралинском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14 июня 2011 года N 169. Зарегистрировано Управлением юстиции Каркаралинского района Карагандинской области 7 июля 2011 года N 8-13-100. Утратило силу - постановлением акимата Каркаралинского района Карагандинской области от 2 февраля 2012 года N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02.02.2012 N 48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оказания социальной поддержки безработным гражданам, входящим в целевые группы,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"Отдел занятости и социальных программ Каркаралинского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проводить работу по направлению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работодателем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работодателя на оплату труда безработного, трудоустроенного на социальные рабочие места,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20 апреля 2010 года N 83 "О мерах по организации социальных рабочих мест в Каркаралинском районе" (зарегистрирован в управлении Юстиции Каркаралинского района 29 апреля 2010 года за N 8-13-81, опубликован в газете "Қарқаралы" 8 мая 2010 года N 37-38)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Каркаралинского района С.С.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К. Максутов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N 169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орган-государственное учреждение "Отдел занятости и социальных программ Каркаралинского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заключается на срок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заключения договора с работодателем,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соответствующие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