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0b2261d" w14:textId="0b2261d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 внесении изменений и дополнений в решение районного маслихата (XXVII сессия, IV созыв) от 23 декабря 2010 года N 1/27 "О бюджете района на 2011 - 2013 годы"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маслихата Качирского района Павлодарской области от 30 марта 2011 года N 2/30. Зарегистрировано Департаментом юстиции Павлодарской области 01 апреля 2011 года N 12-8-104. Утратило силу решением маслихата Качирского района Павлодарской области от 17 июня 2013 года N 8/14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  Сноска. Утратило силу решением маслихата Качирского района Павлодарской области от 17.06.2013 N 8/14.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подпунктом 1)</w:t>
      </w:r>
      <w:r>
        <w:rPr>
          <w:rFonts w:ascii="Times New Roman"/>
          <w:b w:val="false"/>
          <w:i w:val="false"/>
          <w:color w:val="000000"/>
          <w:sz w:val="28"/>
        </w:rPr>
        <w:t xml:space="preserve"> пункта 1 статьи 6 Закона Республики Казахстан "О местном государственном управлении и самоуправлении в Республике Казахстан" от 23 января 2001 года, </w:t>
      </w:r>
      <w:r>
        <w:rPr>
          <w:rFonts w:ascii="Times New Roman"/>
          <w:b w:val="false"/>
          <w:i w:val="false"/>
          <w:color w:val="000000"/>
          <w:sz w:val="28"/>
        </w:rPr>
        <w:t>пунктом 2</w:t>
      </w:r>
      <w:r>
        <w:rPr>
          <w:rFonts w:ascii="Times New Roman"/>
          <w:b w:val="false"/>
          <w:i w:val="false"/>
          <w:color w:val="000000"/>
          <w:sz w:val="28"/>
        </w:rPr>
        <w:t xml:space="preserve"> статьи 106 Бюджетного кодекса Республики Казахстан от 4 декабря 2008 года, </w:t>
      </w:r>
      <w:r>
        <w:rPr>
          <w:rFonts w:ascii="Times New Roman"/>
          <w:b w:val="false"/>
          <w:i w:val="false"/>
          <w:color w:val="000000"/>
          <w:sz w:val="28"/>
        </w:rPr>
        <w:t>решением</w:t>
      </w:r>
      <w:r>
        <w:rPr>
          <w:rFonts w:ascii="Times New Roman"/>
          <w:b w:val="false"/>
          <w:i w:val="false"/>
          <w:color w:val="000000"/>
          <w:sz w:val="28"/>
        </w:rPr>
        <w:t xml:space="preserve"> Павлодарского областного маслихата (XXXIII сессия, IV созыв) от 16 марта 2011 года N 355/33 "О внесении изменений и дополнений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областного маслихата (XXIX сессия, IV созыв) от 13 декабря 2010 года N 324/29 "Об областном бюджете на 2011 - 2013 годы", районный маслихат </w:t>
      </w:r>
      <w:r>
        <w:rPr>
          <w:rFonts w:ascii="Times New Roman"/>
          <w:b/>
          <w:i w:val="false"/>
          <w:color w:val="000000"/>
          <w:sz w:val="28"/>
        </w:rPr>
        <w:t>РЕШИЛ</w:t>
      </w:r>
      <w:r>
        <w:rPr>
          <w:rFonts w:ascii="Times New Roman"/>
          <w:b w:val="false"/>
          <w:i w:val="false"/>
          <w:color w:val="000000"/>
          <w:sz w:val="28"/>
        </w:rPr>
        <w:t>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Внести в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районного маслихата (XXVII сессия, IV созыв) от 23 декабря 2010 года N 1/27 "О бюджете района на 2011 - 2013 годы" (зарегистрированное в Реестре государственной регистрации нормативных правовых актов за N 12-8-98, опубликованное в газете "Заря" от 8 января 2011 года N 2) следующие изменения и дополнения: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1):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"2068477" заменить цифрами "2088947";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"1822306" заменить цифрами "1842776";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в подпункте 2):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"2078618" заменить цифрами "2099088";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3-1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"13462" заменить цифрами "15114";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дополнить абзацем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"11995" тысяч тенге – на увеличение размера доплаты за квалификационную категорию учителям школ и воспитателям дошкольных организаций образования";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в </w:t>
      </w:r>
      <w:r>
        <w:rPr>
          <w:rFonts w:ascii="Times New Roman"/>
          <w:b w:val="false"/>
          <w:i w:val="false"/>
          <w:color w:val="000000"/>
          <w:sz w:val="28"/>
        </w:rPr>
        <w:t>пункте 3-4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решения: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цифры "66701" заменить цифрами "61076";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  </w:t>
      </w:r>
      <w:r>
        <w:rPr>
          <w:rFonts w:ascii="Times New Roman"/>
          <w:b w:val="false"/>
          <w:i w:val="false"/>
          <w:color w:val="000000"/>
          <w:sz w:val="28"/>
        </w:rPr>
        <w:t>решение</w:t>
      </w:r>
      <w:r>
        <w:rPr>
          <w:rFonts w:ascii="Times New Roman"/>
          <w:b w:val="false"/>
          <w:i w:val="false"/>
          <w:color w:val="000000"/>
          <w:sz w:val="28"/>
        </w:rPr>
        <w:t xml:space="preserve"> дополнить </w:t>
      </w:r>
      <w:r>
        <w:rPr>
          <w:rFonts w:ascii="Times New Roman"/>
          <w:b w:val="false"/>
          <w:i w:val="false"/>
          <w:color w:val="000000"/>
          <w:sz w:val="28"/>
        </w:rPr>
        <w:t>пунктом 3-5</w:t>
      </w:r>
      <w:r>
        <w:rPr>
          <w:rFonts w:ascii="Times New Roman"/>
          <w:b w:val="false"/>
          <w:i w:val="false"/>
          <w:color w:val="000000"/>
          <w:sz w:val="28"/>
        </w:rPr>
        <w:t xml:space="preserve"> следующего содержания: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"3-5. Учесть в бюджете района на 2011 год на реализацию мероприятий в рамках Программы занятости 2020: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целевые текущие трансферты на частичное субсидирование заработной платы и создание Центра занятости – 12448 тысяч тенге";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приложения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5</w:t>
      </w:r>
      <w:r>
        <w:rPr>
          <w:rFonts w:ascii="Times New Roman"/>
          <w:b w:val="false"/>
          <w:i w:val="false"/>
          <w:color w:val="000000"/>
          <w:sz w:val="28"/>
        </w:rPr>
        <w:t xml:space="preserve"> к указанному решению изложить в новой редакции согласно приложениям </w:t>
      </w:r>
      <w:r>
        <w:rPr>
          <w:rFonts w:ascii="Times New Roman"/>
          <w:b w:val="false"/>
          <w:i w:val="false"/>
          <w:color w:val="000000"/>
          <w:sz w:val="28"/>
        </w:rPr>
        <w:t>1</w:t>
      </w:r>
      <w:r>
        <w:rPr>
          <w:rFonts w:ascii="Times New Roman"/>
          <w:b w:val="false"/>
          <w:i w:val="false"/>
          <w:color w:val="000000"/>
          <w:sz w:val="28"/>
        </w:rPr>
        <w:t>, </w:t>
      </w:r>
      <w:r>
        <w:rPr>
          <w:rFonts w:ascii="Times New Roman"/>
          <w:b w:val="false"/>
          <w:i w:val="false"/>
          <w:color w:val="000000"/>
          <w:sz w:val="28"/>
        </w:rPr>
        <w:t>2</w:t>
      </w:r>
      <w:r>
        <w:rPr>
          <w:rFonts w:ascii="Times New Roman"/>
          <w:b w:val="false"/>
          <w:i w:val="false"/>
          <w:color w:val="000000"/>
          <w:sz w:val="28"/>
        </w:rPr>
        <w:t xml:space="preserve"> к настоящему решению.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Контроль за выполнением настоящего решения возложить на постоянную планово-бюджетную комиссию районного маслихата.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Настоящее решение вводится в действие с 1 января 2011 года.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сессии                        С. Баяндинов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Качирского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районного маслихата                        С. Баяндинов</w:t>
      </w:r>
    </w:p>
    <w:bookmarkStart w:name="z10" w:id="1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1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Качирского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(XXX очередная сессия, IV созыв)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марта 2011 года N 2/30      </w:t>
      </w:r>
    </w:p>
    <w:bookmarkEnd w:id="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РАЙОННЫЙ БЮДЖЕТ на 2011 год</w:t>
      </w:r>
    </w:p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688"/>
        <w:gridCol w:w="646"/>
        <w:gridCol w:w="8092"/>
        <w:gridCol w:w="2946"/>
      </w:tblGrid>
      <w:tr>
        <w:trPr>
          <w:trHeight w:val="150" w:hRule="atLeast"/>
        </w:trPr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Категория</w:t>
            </w:r>
          </w:p>
        </w:tc>
        <w:tc>
          <w:tcPr>
            <w:tcW w:w="294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Тысяч тенге</w:t>
            </w:r>
          </w:p>
        </w:tc>
      </w:tr>
      <w:tr>
        <w:trPr>
          <w:trHeight w:val="1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Подкласс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1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</w:tr>
      <w:tr>
        <w:trPr>
          <w:trHeight w:val="1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42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I. ДОХОДЫ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2 088 947</w:t>
            </w:r>
          </w:p>
        </w:tc>
      </w:tr>
      <w:tr>
        <w:trPr>
          <w:trHeight w:val="1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НАЛОГОВЫЕ ПОСТУПЛЕНИЯ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243 549</w:t>
            </w:r>
          </w:p>
        </w:tc>
      </w:tr>
      <w:tr>
        <w:trPr>
          <w:trHeight w:val="1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Подоходный налог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91 970</w:t>
            </w:r>
          </w:p>
        </w:tc>
      </w:tr>
      <w:tr>
        <w:trPr>
          <w:trHeight w:val="1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Индивидуальный подоходный налог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91 970</w:t>
            </w:r>
          </w:p>
        </w:tc>
      </w:tr>
      <w:tr>
        <w:trPr>
          <w:trHeight w:val="1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80 563</w:t>
            </w:r>
          </w:p>
        </w:tc>
      </w:tr>
      <w:tr>
        <w:trPr>
          <w:trHeight w:val="1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Социальный налог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80 563</w:t>
            </w:r>
          </w:p>
        </w:tc>
      </w:tr>
      <w:tr>
        <w:trPr>
          <w:trHeight w:val="1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собственность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67 209</w:t>
            </w:r>
          </w:p>
        </w:tc>
      </w:tr>
      <w:tr>
        <w:trPr>
          <w:trHeight w:val="1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Налоги на имущество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35 048</w:t>
            </w:r>
          </w:p>
        </w:tc>
      </w:tr>
      <w:tr>
        <w:trPr>
          <w:trHeight w:val="1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Земельный налог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3 935</w:t>
            </w:r>
          </w:p>
        </w:tc>
      </w:tr>
      <w:tr>
        <w:trPr>
          <w:trHeight w:val="1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Налог на транспортные средства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14 831</w:t>
            </w:r>
          </w:p>
        </w:tc>
      </w:tr>
      <w:tr>
        <w:trPr>
          <w:trHeight w:val="1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Единый земельный налог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13 395</w:t>
            </w:r>
          </w:p>
        </w:tc>
      </w:tr>
      <w:tr>
        <w:trPr>
          <w:trHeight w:val="1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05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Внутренние налоги на товары, работы и услуги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2 487</w:t>
            </w:r>
          </w:p>
        </w:tc>
      </w:tr>
      <w:tr>
        <w:trPr>
          <w:trHeight w:val="1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Акцизы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</w:t>
            </w:r>
          </w:p>
        </w:tc>
      </w:tr>
      <w:tr>
        <w:trPr>
          <w:trHeight w:val="1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Поступление за использование природных и других ресурсов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729</w:t>
            </w:r>
          </w:p>
        </w:tc>
      </w:tr>
      <w:tr>
        <w:trPr>
          <w:trHeight w:val="1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Сборы за ведение предпринимательской и профессиональной деятельности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1 192</w:t>
            </w:r>
          </w:p>
        </w:tc>
      </w:tr>
      <w:tr>
        <w:trPr>
          <w:trHeight w:val="1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Обязательные платежи, взимаемые за совершение юридически значимых действий и (или) выдачу документов уполномоченными на то государственными органами или должностными лицами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1 320</w:t>
            </w:r>
          </w:p>
        </w:tc>
      </w:tr>
      <w:tr>
        <w:trPr>
          <w:trHeight w:val="1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пошлина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</w:t>
            </w:r>
          </w:p>
        </w:tc>
      </w:tr>
      <w:tr>
        <w:trPr>
          <w:trHeight w:val="1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НЕНАЛОГОВЫЕ ПОСТУПЛЕНИЯ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2 515</w:t>
            </w:r>
          </w:p>
        </w:tc>
      </w:tr>
      <w:tr>
        <w:trPr>
          <w:trHeight w:val="1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государственной собственности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1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Доходы от аренды имущества, находящегося в государственной собственности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680</w:t>
            </w:r>
          </w:p>
        </w:tc>
      </w:tr>
      <w:tr>
        <w:trPr>
          <w:trHeight w:val="1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1 835</w:t>
            </w:r>
          </w:p>
        </w:tc>
      </w:tr>
      <w:tr>
        <w:trPr>
          <w:trHeight w:val="1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неналоговые поступления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1 835</w:t>
            </w:r>
          </w:p>
        </w:tc>
      </w:tr>
      <w:tr>
        <w:trPr>
          <w:trHeight w:val="1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ОТ ПРОДАЖИ ОСНОВНОГО КАПИТАЛА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1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1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Продажа государственного имущества, закрепленного за государственными учреждениями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107</w:t>
            </w:r>
          </w:p>
        </w:tc>
      </w:tr>
      <w:tr>
        <w:trPr>
          <w:trHeight w:val="1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ПОСТУПЛЕНИЯ ТРАНСФЕРТОВ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1 842 776</w:t>
            </w:r>
          </w:p>
        </w:tc>
      </w:tr>
      <w:tr>
        <w:trPr>
          <w:trHeight w:val="1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вышестоящих органов государственного управления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1 842 776</w:t>
            </w:r>
          </w:p>
        </w:tc>
      </w:tr>
      <w:tr>
        <w:trPr>
          <w:trHeight w:val="15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809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 из областного бюджета</w:t>
            </w:r>
          </w:p>
        </w:tc>
        <w:tc>
          <w:tcPr>
            <w:tcW w:w="29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1 842 776</w:t>
            </w:r>
          </w:p>
        </w:tc>
      </w:tr>
    </w:tbl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42"/>
        <w:gridCol w:w="555"/>
        <w:gridCol w:w="620"/>
        <w:gridCol w:w="664"/>
        <w:gridCol w:w="7553"/>
        <w:gridCol w:w="3026"/>
      </w:tblGrid>
      <w:tr>
        <w:trPr>
          <w:trHeight w:val="3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  <w:tc>
          <w:tcPr>
            <w:tcW w:w="3026" w:type="dxa"/>
            <w:vMerge w:val="restart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Сумма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(тыс. тенге)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бюджетных программ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  <w:tc>
          <w:tcPr>
            <w:tcW w:w="0" w:type="auto"/>
            <w:vMerge/>
            <w:tcBorders>
              <w:top w:val="nil"/>
              <w:left w:val="single" w:color="cfcfcf" w:sz="5"/>
              <w:bottom w:val="single" w:color="cfcfcf" w:sz="5"/>
              <w:right w:val="single" w:color="cfcfcf" w:sz="5"/>
            </w:tcBorders>
          </w:tcPr>
          <w:p/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II. Затраты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2099088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200178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177557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маслихата района (города областного значения)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14097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маслихата района (города областного значения)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13947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46802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(города областного значения)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45892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910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116658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116658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Финансовая деятельность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12168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исполнения бюджета района (города областного значения) и управления коммунальной собственностью района (города областного значения)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11992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оценки имущества в целях налогообложения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Планирование и статистическая деятельность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10453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формирования и развития экономической политики, системы государственного планирования и управления района (города областного значения)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10153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Оборона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19543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Военные нужды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в рамках исполнения всеобщей воинской обязанности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работы по чрезвычайным ситуациям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(города областного значения)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Мероприятия по профилактике и тушению степных пожаров районного (городского) масштаба, а также пожаров в населенных пунктах, в которых не созданы органы государственной противопожарной службы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1362051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112052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111779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1218550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7466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1211084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Общеобразовательное обучение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1183500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Дополнительное образование для детей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27584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образования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образования района (города областного значения)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31449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образования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8289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и доставка учебников, учебно-методических комплексов для государственных учреждений образования района (города областного значения)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10235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школьных олимпиад, внешкольных мероприятий и конкурсов районного (городского) масштаба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Ежемесячные выплаты денежных средств опекунам (попечителям) на содержание ребенка сироты (детей-сирот), и ребенка (детей), оставшегося без попечения родителей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8619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оборудованием, программным обеспечением детей-инвалидов, обучающихся на дому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3806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104044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87955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13529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74426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 занятости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15517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Государственная адресная социальная помощь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Жилищная помощь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отдельным категориям нуждающихся граждан по решениям местных представительных органов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35800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Материальное обеспечение детей-инвалидов, воспитывающихся и обучающихся на дому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620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1307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пособия на детей до 18 лет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5500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нуждающихся инвалидов обязательными гигиеническими средствами и предоставление услуг специалистами жестового языка, индивидуальными помощниками в соответствии с индивидуальной программой реабилитации инвалида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деятельности центров занятости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7443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социальной помощи и социального обеспечения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16089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обеспечения занятости и реализации социальных программ для населения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15332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Оплата услуг по зачислению, выплате и доставке пособий и других социальных выплат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757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170081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40500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19000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жильем отдельных категорий граждан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20000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Строительство жилья государственного коммунального жилищного фонда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Коммунальное хозяйство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85076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системы водоснабжения и водоотведения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9000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76076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коммунального хозяйства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15000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61076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44505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6499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3323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4300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30103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13203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018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16900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116217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60196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59968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объектов культуры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Спорт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5025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спортивных соревнований на районном (города областного значения) уровне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3339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Подготовка и участие членов сборных команд района (города областного значения) по различным видам спорта на областных спортивных соревнованиях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1686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Информационное пространство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36589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7279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газеты и журналы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5667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проведению государственной информационной политики через телерадиовещание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1612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29310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Функционирование районных (городских) библиотек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28672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государственного языка и других языков народа Казахстана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638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по организации культуры, спорта, туризма и информационного пространства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14407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внутренней политики района (города областного значения)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6040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информации, укрепления государственности и формирования социального оптимизма граждан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5040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региональных программ в сфере молодежной политики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1000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457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культуры, развития языков, физической культуры и спорта района (города областного значения)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культуры, развития языков, физической культуры и спорта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8367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53201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10198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099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Реализация мер социальной поддержки специалистов социальной сферы сельских населенных пунктов за счет целевого трансферта из республиканского бюджета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4701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сфере ветеринарии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Водное хозяйство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Развитие системы водоснабжения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20361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Земельные отношения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земельных отношений района (города областного значения)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регулирования земельных отношений на территории района (города областного значения)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7528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области сельского, водного, лесного, рыбного  хозяйства, охраны окружающей среды и земельных отношений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15114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473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ветеринарии района (города областного значения)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15114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Проведение противоэпизоотических мероприятий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15114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11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Промышленность, архитектурная, градостроительная и строительная деятельность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Архитектурная, градостроительная и строительная деятельность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466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архитектуры, градостроительства и строительства района (города областного значения)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7473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в области строительства, улучшения архитектурного облика городов, районов и населенных пунктов области и обеспечению рационального и эффективного градостроительного освоения территории района (города областного значения)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7323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015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37588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34293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13893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023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20400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 услуги в сфере транспорта и коммуникаций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внутрипоселковых (внутригородских) внутрирайонных общественных пассажирских перевозок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3295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26905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 и защита конкуренции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предпринимательской деятельности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307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26598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занятости и социальных программ района (города областного значения)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частного предпринимательства в рамках программы "Дорожная карта бизнеса - 2020"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1872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012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Резерв местного исполнительного органа района (города областного значения)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4923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454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предпринимательства и сельского хозяйства района (города областного значения)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14306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развития предпринимательства, промышленности и сельского хозяйства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14046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Капитальные расходы государственных органов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260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458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жилищно-коммунального хозяйства, пассажирского транспорта и автомобильных дорог района (города областного значения)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реализации государственной политики на местном уровне в области жилищно-коммунального хозяйства, пассажирского транспорта и автомобильных дорог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5497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Трансферты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Возврат неиспользованных (недоиспользованных) целевых трансфертов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1807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III. Чистое бюджетное кредитование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16071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10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Сельское, водное, лесное, рыбное хозяйство, особо охраняемые природные территории, охрана окружающей среды и животного мира, земельные отношения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Сельское хозяйство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453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экономики и бюджетного планирования района (города областного значения)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Бюджетные кредиты для реализации мер социальной поддержки специалистов социальной сферы сельских населенных пунктов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17615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Погашение бюджетных кредитов, выданных из государственного бюджета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1544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IV. Сальдо по операциям с финансовыми активами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Приобретение финансовых активов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13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9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Прочие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452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Отдел финансов района (города областного значения)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014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Формирование или увеличение уставного капитала юридических лиц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25000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V. Дефицит (профицит) бюджета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-51212</w:t>
            </w:r>
          </w:p>
        </w:tc>
      </w:tr>
      <w:tr>
        <w:trPr>
          <w:trHeight w:val="30" w:hRule="atLeast"/>
        </w:trPr>
        <w:tc>
          <w:tcPr>
            <w:tcW w:w="64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5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755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VI. Финансирование дефицита (использование профицита) бюджета</w:t>
            </w:r>
          </w:p>
        </w:tc>
        <w:tc>
          <w:tcPr>
            <w:tcW w:w="302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51212</w:t>
            </w:r>
          </w:p>
        </w:tc>
      </w:tr>
    </w:tbl>
    <w:bookmarkStart w:name="z11" w:id="2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 xml:space="preserve">
Приложение 2       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к решению Качирского районного маслихата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(XXX очередная сессия, IV созыв)    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 xml:space="preserve">
от 30 марта 2011 года N 2/30      </w:t>
      </w:r>
    </w:p>
    <w:bookmarkEnd w:id="2"/>
    <w:bookmarkStart w:name="z12" w:id="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Теренкольского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2011 год</w:t>
      </w:r>
    </w:p>
    <w:bookmarkEnd w:id="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562"/>
        <w:gridCol w:w="646"/>
        <w:gridCol w:w="625"/>
        <w:gridCol w:w="10643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6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</w:tr>
      <w:tr>
        <w:trPr>
          <w:trHeight w:val="1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4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5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Жилищное хозяйство</w:t>
            </w:r>
          </w:p>
        </w:tc>
      </w:tr>
      <w:tr>
        <w:trPr>
          <w:trHeight w:val="9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007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сохранения государственного жилищного фонда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6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010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Содержание мест захоронений и погребение безродных</w:t>
            </w:r>
          </w:p>
        </w:tc>
      </w:tr>
      <w:tr>
        <w:trPr>
          <w:trHeight w:val="4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9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поселках, аулах (села), аульного (сельского) округа</w:t>
            </w:r>
          </w:p>
        </w:tc>
      </w:tr>
      <w:tr>
        <w:trPr>
          <w:trHeight w:val="9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4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13" w:id="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Песчанского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2011 год</w:t>
      </w:r>
    </w:p>
    <w:bookmarkEnd w:id="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583"/>
        <w:gridCol w:w="646"/>
        <w:gridCol w:w="625"/>
        <w:gridCol w:w="10622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10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9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Дошкольное воспитание и обучение</w:t>
            </w:r>
          </w:p>
        </w:tc>
      </w:tr>
      <w:tr>
        <w:trPr>
          <w:trHeight w:val="9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004</w:t>
            </w:r>
          </w:p>
        </w:tc>
        <w:tc>
          <w:tcPr>
            <w:tcW w:w="10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организаций дошкольного воспитания и обучения</w:t>
            </w:r>
          </w:p>
        </w:tc>
      </w:tr>
      <w:tr>
        <w:trPr>
          <w:trHeight w:val="6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025</w:t>
            </w:r>
          </w:p>
        </w:tc>
        <w:tc>
          <w:tcPr>
            <w:tcW w:w="10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Увеличение размера доплаты за квалификационную категорию учителям школ и воспитателям дошкольных организаций образования</w:t>
            </w:r>
          </w:p>
        </w:tc>
      </w:tr>
      <w:tr>
        <w:trPr>
          <w:trHeight w:val="7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8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4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5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8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9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10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8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2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14" w:id="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Березовского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2011 год</w:t>
      </w:r>
    </w:p>
    <w:bookmarkEnd w:id="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604"/>
        <w:gridCol w:w="625"/>
        <w:gridCol w:w="646"/>
        <w:gridCol w:w="1060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2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57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1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6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15" w:id="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Бобровского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2011 год</w:t>
      </w:r>
    </w:p>
    <w:bookmarkEnd w:id="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604"/>
        <w:gridCol w:w="625"/>
        <w:gridCol w:w="646"/>
        <w:gridCol w:w="1058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6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6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8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66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7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16" w:id="7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Ивановского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2011 год</w:t>
      </w:r>
    </w:p>
    <w:bookmarkEnd w:id="7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604"/>
        <w:gridCol w:w="625"/>
        <w:gridCol w:w="646"/>
        <w:gridCol w:w="1058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60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4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8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17" w:id="8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Октябрьского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2011 год</w:t>
      </w:r>
    </w:p>
    <w:bookmarkEnd w:id="8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625"/>
        <w:gridCol w:w="604"/>
        <w:gridCol w:w="667"/>
        <w:gridCol w:w="10540"/>
      </w:tblGrid>
      <w:tr>
        <w:trPr>
          <w:trHeight w:val="25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8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10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4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5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49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4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18" w:id="9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Калиновского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2011 год</w:t>
      </w:r>
    </w:p>
    <w:bookmarkEnd w:id="9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625"/>
        <w:gridCol w:w="625"/>
        <w:gridCol w:w="646"/>
        <w:gridCol w:w="1054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6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51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4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6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011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и озеленение населенных пунктов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19" w:id="10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Федоровского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2011 год</w:t>
      </w:r>
    </w:p>
    <w:bookmarkEnd w:id="10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604"/>
        <w:gridCol w:w="646"/>
        <w:gridCol w:w="646"/>
        <w:gridCol w:w="10541"/>
      </w:tblGrid>
      <w:tr>
        <w:trPr>
          <w:trHeight w:val="9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6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7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3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70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6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20" w:id="11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Байконысского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2011 год</w:t>
      </w:r>
    </w:p>
    <w:bookmarkEnd w:id="11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562"/>
        <w:gridCol w:w="667"/>
        <w:gridCol w:w="646"/>
        <w:gridCol w:w="10500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1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1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1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1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1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8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1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1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5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1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51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28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08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Культура, спорт, туризм и информационное пространство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Деятельность в области культуры</w:t>
            </w:r>
          </w:p>
        </w:tc>
      </w:tr>
      <w:tr>
        <w:trPr>
          <w:trHeight w:val="4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0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006</w:t>
            </w:r>
          </w:p>
        </w:tc>
        <w:tc>
          <w:tcPr>
            <w:tcW w:w="10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Поддержка культурно-досуговой работы на местном уровне</w:t>
            </w:r>
          </w:p>
        </w:tc>
      </w:tr>
      <w:tr>
        <w:trPr>
          <w:trHeight w:val="1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51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3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0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21" w:id="12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Коммунарского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2011 год</w:t>
      </w:r>
    </w:p>
    <w:bookmarkEnd w:id="12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583"/>
        <w:gridCol w:w="625"/>
        <w:gridCol w:w="646"/>
        <w:gridCol w:w="625"/>
        <w:gridCol w:w="1050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9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87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9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5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3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88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72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780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45" w:hRule="atLeast"/>
        </w:trPr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0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22" w:id="13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Берегового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2011 год</w:t>
      </w:r>
    </w:p>
    <w:bookmarkEnd w:id="13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04"/>
        <w:gridCol w:w="583"/>
        <w:gridCol w:w="667"/>
        <w:gridCol w:w="625"/>
        <w:gridCol w:w="10481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1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1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1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1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18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51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2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4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7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5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33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90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13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525" w:hRule="atLeast"/>
        </w:trPr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23" w:id="14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Верненского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2011 год</w:t>
      </w:r>
    </w:p>
    <w:bookmarkEnd w:id="14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25"/>
        <w:gridCol w:w="583"/>
        <w:gridCol w:w="604"/>
        <w:gridCol w:w="604"/>
        <w:gridCol w:w="10544"/>
      </w:tblGrid>
      <w:tr>
        <w:trPr>
          <w:trHeight w:val="180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1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1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1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1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1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6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2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18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3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02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4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6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1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12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90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49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15" w:hRule="atLeast"/>
        </w:trPr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83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54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24" w:id="15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Жана-Курусского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2011 год</w:t>
      </w:r>
    </w:p>
    <w:bookmarkEnd w:id="15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67"/>
        <w:gridCol w:w="562"/>
        <w:gridCol w:w="646"/>
        <w:gridCol w:w="604"/>
        <w:gridCol w:w="10481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 xml:space="preserve">Администратор бюджетной </w:t>
            </w:r>
          </w:p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программы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4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57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2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04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Образование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Начальное, основное среднее и общее среднее образование</w:t>
            </w:r>
          </w:p>
        </w:tc>
      </w:tr>
      <w:tr>
        <w:trPr>
          <w:trHeight w:val="5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1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005</w:t>
            </w:r>
          </w:p>
        </w:tc>
        <w:tc>
          <w:tcPr>
            <w:tcW w:w="10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Организация бесплатного подвоза учащихся до школы и обратно в аульной (сельской) местности</w:t>
            </w:r>
          </w:p>
        </w:tc>
      </w:tr>
      <w:tr>
        <w:trPr>
          <w:trHeight w:val="19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36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24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46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9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315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80" w:hRule="atLeast"/>
        </w:trPr>
        <w:tc>
          <w:tcPr>
            <w:tcW w:w="667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62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04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8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bookmarkStart w:name="z25" w:id="16"/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</w:rPr>
        <w:t xml:space="preserve"> 
Перечень бюджетных программ Воскресенского аульного</w:t>
      </w:r>
      <w:r>
        <w:br/>
      </w:r>
      <w:r>
        <w:rPr>
          <w:rFonts w:ascii="Times New Roman"/>
          <w:b/>
          <w:i w:val="false"/>
          <w:color w:val="000000"/>
        </w:rPr>
        <w:t>
(сельского) поселкового бюджета на 2011 год</w:t>
      </w:r>
    </w:p>
    <w:bookmarkEnd w:id="16"/>
    <w:tbl>
      <w:tblPr>
        <w:tblW w:w="0" w:type="auto"/>
        <w:tblCellSpacing w:w="0" w:type="auto"/>
        <w:tblInd w:w="115" w:type="dxa"/>
        <w:tblBorders>
          <w:top w:val="single" w:color="cfcfcf" w:sz="5"/>
          <w:left w:val="single" w:color="cfcfcf" w:sz="5"/>
          <w:bottom w:val="single" w:color="cfcfcf" w:sz="5"/>
          <w:right w:val="single" w:color="cfcfcf" w:sz="5"/>
          <w:insideH w:val="none"/>
          <w:insideV w:val="none"/>
        </w:tblBorders>
      </w:tblPr>
      <w:tblGrid>
        <w:gridCol w:w="688"/>
        <w:gridCol w:w="541"/>
        <w:gridCol w:w="625"/>
        <w:gridCol w:w="646"/>
        <w:gridCol w:w="10460"/>
      </w:tblGrid>
      <w:tr>
        <w:trPr>
          <w:trHeight w:val="315" w:hRule="atLeast"/>
        </w:trPr>
        <w:tc>
          <w:tcPr>
            <w:tcW w:w="0" w:type="auto"/>
            <w:gridSpan w:val="5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группа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4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Функциональная подгруппа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3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Администратор бюджетной программы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0" w:type="auto"/>
            <w:gridSpan w:val="2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Программа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Наименование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4</w:t>
            </w:r>
          </w:p>
        </w:tc>
        <w:tc>
          <w:tcPr>
            <w:tcW w:w="10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5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Государственные услуги общего характера</w:t>
            </w:r>
          </w:p>
        </w:tc>
      </w:tr>
      <w:tr>
        <w:trPr>
          <w:trHeight w:val="78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Представительные, исполнительные и другие органы, выполняющие общие функции государственного управления</w:t>
            </w:r>
          </w:p>
        </w:tc>
      </w:tr>
      <w:tr>
        <w:trPr>
          <w:trHeight w:val="43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001</w:t>
            </w:r>
          </w:p>
        </w:tc>
        <w:tc>
          <w:tcPr>
            <w:tcW w:w="10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Услуги по обеспечению деятельности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19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06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 и социальное обеспечение</w:t>
            </w:r>
          </w:p>
        </w:tc>
      </w:tr>
      <w:tr>
        <w:trPr>
          <w:trHeight w:val="1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2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Социальная помощь</w:t>
            </w:r>
          </w:p>
        </w:tc>
      </w:tr>
      <w:tr>
        <w:trPr>
          <w:trHeight w:val="52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40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003</w:t>
            </w:r>
          </w:p>
        </w:tc>
        <w:tc>
          <w:tcPr>
            <w:tcW w:w="10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Оказание социальной помощи нуждающимся гражданам на дому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07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Жилищно-коммунальное хозяйство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3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Благоустройство населенных пунктов</w:t>
            </w:r>
          </w:p>
        </w:tc>
      </w:tr>
      <w:tr>
        <w:trPr>
          <w:trHeight w:val="87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390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008</w:t>
            </w:r>
          </w:p>
        </w:tc>
        <w:tc>
          <w:tcPr>
            <w:tcW w:w="10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Освещение улиц населенных пунктов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009</w:t>
            </w:r>
          </w:p>
        </w:tc>
        <w:tc>
          <w:tcPr>
            <w:tcW w:w="10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санитарии населенных пунктов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Транспорт и коммуникации</w:t>
            </w:r>
          </w:p>
        </w:tc>
      </w:tr>
      <w:tr>
        <w:trPr>
          <w:trHeight w:val="31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Автомобильный транспорт</w:t>
            </w:r>
          </w:p>
        </w:tc>
      </w:tr>
      <w:tr>
        <w:trPr>
          <w:trHeight w:val="85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123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10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Аппарат акима района в городе, города районного значения, поселка, аула (села), аульного (сельского) округа</w:t>
            </w:r>
          </w:p>
        </w:tc>
      </w:tr>
      <w:tr>
        <w:trPr>
          <w:trHeight w:val="675" w:hRule="atLeast"/>
        </w:trPr>
        <w:tc>
          <w:tcPr>
            <w:tcW w:w="688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541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25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0"/>
              <w:ind w:left="0"/>
              <w:jc w:val="both"/>
            </w:pPr>
            <w:r>
              <w:br/>
            </w: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
</w:t>
            </w:r>
          </w:p>
        </w:tc>
        <w:tc>
          <w:tcPr>
            <w:tcW w:w="646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013</w:t>
            </w:r>
          </w:p>
        </w:tc>
        <w:tc>
          <w:tcPr>
            <w:tcW w:w="10460" w:type="dxa"/>
            <w:tcBorders>
              <w:top w:val="single" w:color="cfcfcf" w:sz="5"/>
              <w:left w:val="single" w:color="cfcfcf" w:sz="5"/>
              <w:bottom w:val="single" w:color="cfcfcf" w:sz="5"/>
              <w:right w:val="single" w:color="cfcfcf" w:sz="5"/>
            </w:tcBorders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</w:tcPr>
          <w:p>
            <w:pPr>
              <w:spacing w:after="20"/>
              <w:ind w:left="20"/>
              <w:jc w:val="both"/>
            </w:pPr>
            <w:r>
              <w:rPr>
                <w:rFonts w:ascii="Times New Roman"/>
                <w:b w:val="false"/>
                <w:i w:val="false"/>
                <w:color w:val="000000"/>
                <w:sz w:val="20"/>
              </w:rPr>
              <w:t>Обеспечение функционирования автомобильных дорог в городах районного значения, поселках, аулах (селах), аульных (сельских) округах</w:t>
            </w:r>
          </w:p>
        </w:tc>
      </w:tr>
    </w:tbl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