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e8dc" w14:textId="662e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20 января 2011 года № 18 "Об утверждении Типовых форм постановлений частных судебных исполнителей"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декабря 2012 года № 404. Зарегистрирован в Министерстве юстиции Республики Казахстан от 21 января 2013 года № 8285. Утратил силу приказом Министра юстиции Республики Казахстан от 28 марта 2019 года № 148 (вводится в действие с 24.04.2019)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28.03.2019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7 Закона Республики 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января 2011 года № 18 "Об утверждении Типовых форм постановлений частных судебных исполнителей" (зарегистрированный в Реестре государственной регистрации нормативных правовых актов № 6755, опубликованный в газете "Казахстанская правда" от 16 апреля 2011 года, № 129-130 (26550-26551)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форм постановлений частных судебных исполнителей,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2011 года № 18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имущества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 20 __  г.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Частный судебный исполнитель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территории деятельности частного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исполнителя, адрес, фамилия, инициалы частного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 от "__" __ 20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126 Закона Республики Казахстан от 2 апреля 2010 года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Снять арест 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 ____________________________ и находящегося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регистрации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>Частный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(подпись, фамилия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