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97c8a" w14:textId="fc97c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21 декабря 2012 года № 11-72-V. Зарегистрировано Департаментом юстиции  Южно-Казахстанской области 8 января 2013 года № 2199. Утратило силу в связи с истечением срока применения - (письмо Шардаринского районного маслихата Южно-Казахстанской области от 22 января 2014 года № 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Шардаринского районного маслихата Южно-Казахстанской области от 22.01.2014 № 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2172,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Шардаринского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10 500 276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1 519 585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4 127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14 288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8 962 276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10 570 274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14 302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15 338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1 036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приобретению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- 84 300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84 300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15 338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1 036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69 998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Шардаринского районного маслихата Южно-Казахстанской области от 26.12.2013 </w:t>
      </w:r>
      <w:r>
        <w:rPr>
          <w:rFonts w:ascii="Times New Roman"/>
          <w:b w:val="false"/>
          <w:i w:val="false"/>
          <w:color w:val="000000"/>
          <w:sz w:val="28"/>
        </w:rPr>
        <w:t>№ 23-148-V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бюджетных программ развития на 2013-2015 годы, направленных на реализацию инвестиционных проектов (программ)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бюджетных программ города и сельских округов, финансируемого из местного бюджета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администраторов бюджетных программ,  финансируемых из местного бюджета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программ, не подлежащих секвестру в процессе исполнения местного бюджета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Предусмотреть на 2013 год размер субвенций, передаваемых из областного бюджета в бюджет района на 2013 год в сумме – 4 436 335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2013 год в размере – 29 580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для ликвидации чрезвычайных ситуаций природного и техногенного характера на территории района – 15 557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на неотложные затраты – 10 594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на исполнение обязательств по решениям судов – 3 429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гражданским служащим социального обеспечения, образования, культуры и спорта, работающим в аульной (сельской) местности,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З. Талбидин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Бердибеков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№ 11-72-V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Шардаринского районного маслихата Южно-Казахстанской области от 26.12.2013 </w:t>
      </w:r>
      <w:r>
        <w:rPr>
          <w:rFonts w:ascii="Times New Roman"/>
          <w:b w:val="false"/>
          <w:i w:val="false"/>
          <w:color w:val="ff0000"/>
          <w:sz w:val="28"/>
        </w:rPr>
        <w:t>№ 23-148-V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673"/>
        <w:gridCol w:w="873"/>
        <w:gridCol w:w="7014"/>
        <w:gridCol w:w="2094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10 500 276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1 519 585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218 950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218 950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204 209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204 209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1 069 357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1 017 227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37 561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6 836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4 653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9 378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4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</w:p>
        </w:tc>
      </w:tr>
      <w:tr>
        <w:trPr>
          <w:trHeight w:val="20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14 288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8 962 276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8 962 276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8 962 276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10 570 274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396 809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364 363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19 875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19 207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92 043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88 602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3 441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252 445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221 270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22 775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32 446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32 446</w:t>
            </w:r>
          </w:p>
        </w:tc>
      </w:tr>
      <w:tr>
        <w:trPr>
          <w:trHeight w:val="14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2 925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5 511 201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606 667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254 515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148 669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105 846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352 152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136 853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215 299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4 087 724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4 082 381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3 940 515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141 866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816 810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172 996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12 695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18 487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8 071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96 730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643 814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643 814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193 454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160 079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160 079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96 866</w:t>
            </w:r>
          </w:p>
        </w:tc>
      </w:tr>
      <w:tr>
        <w:trPr>
          <w:trHeight w:val="15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33 375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33 375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31 414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1 851 883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53 403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15 695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15 695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37 708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19 708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1 632 588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1 632 588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31 670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1 134 249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466 669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165 892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165 592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24 023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129 616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334 425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61 597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8 095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8 095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151 746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149 067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109 493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29 994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63 380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46 530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38 494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57 702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29 302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14 457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1 820 240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1 820 240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1 820 240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1 820 240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179 878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117 067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38 524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мероприятии по идентификации сельскохозяйственных животных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60 875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56 849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62 811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62 811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62 811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31 112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31 112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31 112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25 802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100 496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100 496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100 496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100 496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117 900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2 641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2 641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115 259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35 883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35 883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74 504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72 124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9 676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5 887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14 302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-84 300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15 338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69 998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№ 11-72-V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Шардаринского районного маслихата Южно-Казахстанской области от 24.05.2013 </w:t>
      </w:r>
      <w:r>
        <w:rPr>
          <w:rFonts w:ascii="Times New Roman"/>
          <w:b w:val="false"/>
          <w:i w:val="false"/>
          <w:color w:val="ff0000"/>
          <w:sz w:val="28"/>
        </w:rPr>
        <w:t>№ 14-98-V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69"/>
        <w:gridCol w:w="672"/>
        <w:gridCol w:w="790"/>
        <w:gridCol w:w="6944"/>
        <w:gridCol w:w="2256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6 663 409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1 562 869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142 593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142 593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132 133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132 133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1 262 415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1 204 750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10 596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39 869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20 913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4 682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6 562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9 393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11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4 815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4 815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4 142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12 584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11 651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11 651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5 083 814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5 083 814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5 083 814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6 663 409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331 504</w:t>
            </w:r>
          </w:p>
        </w:tc>
      </w:tr>
      <w:tr>
        <w:trPr>
          <w:trHeight w:val="8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303 828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27 352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26 780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81 309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80 737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195 167</w:t>
            </w:r>
          </w:p>
        </w:tc>
      </w:tr>
      <w:tr>
        <w:trPr>
          <w:trHeight w:val="8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191 160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4 007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25 966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25 966</w:t>
            </w:r>
          </w:p>
        </w:tc>
      </w:tr>
      <w:tr>
        <w:trPr>
          <w:trHeight w:val="14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25 231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17 102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14 462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14 462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14 462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2 640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2 640</w:t>
            </w:r>
          </w:p>
        </w:tc>
      </w:tr>
      <w:tr>
        <w:trPr>
          <w:trHeight w:val="6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5 249 067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445 658</w:t>
            </w:r>
          </w:p>
        </w:tc>
      </w:tr>
      <w:tr>
        <w:trPr>
          <w:trHeight w:val="6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231 734</w:t>
            </w:r>
          </w:p>
        </w:tc>
      </w:tr>
      <w:tr>
        <w:trPr>
          <w:trHeight w:val="5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231 734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213 924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213 924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4 243 783</w:t>
            </w:r>
          </w:p>
        </w:tc>
      </w:tr>
      <w:tr>
        <w:trPr>
          <w:trHeight w:val="6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1 703</w:t>
            </w:r>
          </w:p>
        </w:tc>
      </w:tr>
      <w:tr>
        <w:trPr>
          <w:trHeight w:val="6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1 703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4 242 080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4 133 703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108 377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559 626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73 511</w:t>
            </w:r>
          </w:p>
        </w:tc>
      </w:tr>
      <w:tr>
        <w:trPr>
          <w:trHeight w:val="6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18 622</w:t>
            </w:r>
          </w:p>
        </w:tc>
      </w:tr>
      <w:tr>
        <w:trPr>
          <w:trHeight w:val="9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53 168</w:t>
            </w:r>
          </w:p>
        </w:tc>
      </w:tr>
      <w:tr>
        <w:trPr>
          <w:trHeight w:val="6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486 115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486 115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224 745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194 332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194 332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42 715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2 771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14 311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15 300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109 929</w:t>
            </w:r>
          </w:p>
        </w:tc>
      </w:tr>
      <w:tr>
        <w:trPr>
          <w:trHeight w:val="14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8 074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30 413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30 413</w:t>
            </w:r>
          </w:p>
        </w:tc>
      </w:tr>
      <w:tr>
        <w:trPr>
          <w:trHeight w:val="8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29 548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456 173</w:t>
            </w:r>
          </w:p>
        </w:tc>
      </w:tr>
      <w:tr>
        <w:trPr>
          <w:trHeight w:val="4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389 963</w:t>
            </w:r>
          </w:p>
        </w:tc>
      </w:tr>
      <w:tr>
        <w:trPr>
          <w:trHeight w:val="8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19 463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19 463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370 500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370 500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56 210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8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55 642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9 561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16 081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226 539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42 342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42 342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42 342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82 722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82 722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69 989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</w:t>
            </w:r>
          </w:p>
        </w:tc>
      </w:tr>
      <w:tr>
        <w:trPr>
          <w:trHeight w:val="8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59 164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48 751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41 112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7 639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10 413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8 575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42 311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11 713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11 096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22 600</w:t>
            </w:r>
          </w:p>
        </w:tc>
      </w:tr>
      <w:tr>
        <w:trPr>
          <w:trHeight w:val="11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7 998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7 381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8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39 353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25 912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1 979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1 979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23 933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9 812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8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13 441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13 441</w:t>
            </w:r>
          </w:p>
        </w:tc>
      </w:tr>
      <w:tr>
        <w:trPr>
          <w:trHeight w:val="8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12 824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29 577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29 577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16 523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15 906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13 054</w:t>
            </w:r>
          </w:p>
        </w:tc>
      </w:tr>
      <w:tr>
        <w:trPr>
          <w:trHeight w:val="6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7 739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4 698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6 460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6 460</w:t>
            </w:r>
          </w:p>
        </w:tc>
      </w:tr>
      <w:tr>
        <w:trPr>
          <w:trHeight w:val="8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6 460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6 460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76 988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76 988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30 348</w:t>
            </w:r>
          </w:p>
        </w:tc>
      </w:tr>
      <w:tr>
        <w:trPr>
          <w:trHeight w:val="9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23 468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6 880</w:t>
            </w:r>
          </w:p>
        </w:tc>
      </w:tr>
      <w:tr>
        <w:trPr>
          <w:trHeight w:val="8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18 552</w:t>
            </w:r>
          </w:p>
        </w:tc>
      </w:tr>
      <w:tr>
        <w:trPr>
          <w:trHeight w:val="11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17 939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5 901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5 901</w:t>
            </w:r>
          </w:p>
        </w:tc>
      </w:tr>
      <w:tr>
        <w:trPr>
          <w:trHeight w:val="5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5 901</w:t>
            </w:r>
          </w:p>
        </w:tc>
      </w:tr>
      <w:tr>
        <w:trPr>
          <w:trHeight w:val="11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5 901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-712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6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-712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№ 11-72-V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Шардаринского районного маслихата Южно-Казахстанской области от 30.01.2013 </w:t>
      </w:r>
      <w:r>
        <w:rPr>
          <w:rFonts w:ascii="Times New Roman"/>
          <w:b w:val="false"/>
          <w:i w:val="false"/>
          <w:color w:val="ff0000"/>
          <w:sz w:val="28"/>
        </w:rPr>
        <w:t>№ 12-83-V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673"/>
        <w:gridCol w:w="733"/>
        <w:gridCol w:w="6734"/>
        <w:gridCol w:w="2514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8 189 322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1 669 221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144 012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144 012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133 626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133 626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1 363 796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1 301 130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43 058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7 087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13 591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6 502 037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6 502 037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6 502 037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8 189 322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331 504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303 828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81 309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80 737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195 167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191 160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25 966</w:t>
            </w:r>
          </w:p>
        </w:tc>
      </w:tr>
      <w:tr>
        <w:trPr>
          <w:trHeight w:val="14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5 918 521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445 658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231 734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231 734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213 924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213 924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4 250 656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1 703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1 703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4 248 953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4 140 576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108 377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1 222 207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73 511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18 622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53 168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1 148 696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1 148 696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224 745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194 332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194 332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42 715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14 311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109 929</w:t>
            </w:r>
          </w:p>
        </w:tc>
      </w:tr>
      <w:tr>
        <w:trPr>
          <w:trHeight w:val="14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8 074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30 413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30 413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29 548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413 173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256 963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156 210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155 642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226 539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42 342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42 342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42 342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82 722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82 722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69 989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59 164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48 751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41 112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7 639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8 575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42 311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7 998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853 738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853 738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853 738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853 738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39 353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25 912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1 979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13 441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13 441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29 577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29 577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13 054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7 739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52 109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76 988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76 988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30 348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18 552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17 939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5 973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5 973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-712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-712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№ 11-72-V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на 2013-2015 годы, направленных на реализацию инвестиционных проектов (программ)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Шардаринского районного маслихата Южно-Казахстанской области от 13.12.2013 </w:t>
      </w:r>
      <w:r>
        <w:rPr>
          <w:rFonts w:ascii="Times New Roman"/>
          <w:b w:val="false"/>
          <w:i w:val="false"/>
          <w:color w:val="ff0000"/>
          <w:sz w:val="28"/>
        </w:rPr>
        <w:t>№ 21-134-V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85"/>
        <w:gridCol w:w="710"/>
        <w:gridCol w:w="789"/>
        <w:gridCol w:w="5468"/>
        <w:gridCol w:w="1834"/>
        <w:gridCol w:w="1875"/>
        <w:gridCol w:w="199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Коды 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643 814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486 115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1 148 696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643 814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486 115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1 148 696</w:t>
            </w:r>
          </w:p>
        </w:tc>
      </w:tr>
      <w:tr>
        <w:trPr>
          <w:trHeight w:val="8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643 814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486 115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1 148 696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643 814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486 115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1 148 696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1 638 626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380 500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37 708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37 708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19 708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1 600 918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370 500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237 500</w:t>
            </w:r>
          </w:p>
        </w:tc>
      </w:tr>
      <w:tr>
        <w:trPr>
          <w:trHeight w:val="11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1 600 918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370 500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237 500</w:t>
            </w:r>
          </w:p>
        </w:tc>
      </w:tr>
      <w:tr>
        <w:trPr>
          <w:trHeight w:val="6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1 134 249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370 500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237 500</w:t>
            </w:r>
          </w:p>
        </w:tc>
      </w:tr>
      <w:tr>
        <w:trPr>
          <w:trHeight w:val="8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466 669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2 679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2 679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2 679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2 679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1 820 240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853 738</w:t>
            </w:r>
          </w:p>
        </w:tc>
      </w:tr>
      <w:tr>
        <w:trPr>
          <w:trHeight w:val="9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1 820 240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853 738</w:t>
            </w:r>
          </w:p>
        </w:tc>
      </w:tr>
      <w:tr>
        <w:trPr>
          <w:trHeight w:val="12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1 820 240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853 738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1 820 240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853 738</w:t>
            </w:r>
          </w:p>
        </w:tc>
      </w:tr>
      <w:tr>
        <w:trPr>
          <w:trHeight w:val="15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17 668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17 668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17 668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17 668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4 123 027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866 615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2 239 934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№ 11-72-V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города и сельских округов,  финансируемого из местного бюджета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Шардаринского районного маслихата Южно-Казахстанской области от 13.12.2013 </w:t>
      </w:r>
      <w:r>
        <w:rPr>
          <w:rFonts w:ascii="Times New Roman"/>
          <w:b w:val="false"/>
          <w:i w:val="false"/>
          <w:color w:val="ff0000"/>
          <w:sz w:val="28"/>
        </w:rPr>
        <w:t>№ 21-134-V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574"/>
        <w:gridCol w:w="728"/>
        <w:gridCol w:w="854"/>
        <w:gridCol w:w="6802"/>
        <w:gridCol w:w="2401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Коды 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619033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Жаушыкум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15951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15551</w:t>
            </w:r>
          </w:p>
        </w:tc>
      </w:tr>
      <w:tr>
        <w:trPr>
          <w:trHeight w:val="6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15551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15551</w:t>
            </w:r>
          </w:p>
        </w:tc>
      </w:tr>
      <w:tr>
        <w:trPr>
          <w:trHeight w:val="8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13757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им. К. Турысбекова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64142</w:t>
            </w:r>
          </w:p>
        </w:tc>
      </w:tr>
      <w:tr>
        <w:trPr>
          <w:trHeight w:val="4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29365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29365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29365</w:t>
            </w:r>
          </w:p>
        </w:tc>
      </w:tr>
      <w:tr>
        <w:trPr>
          <w:trHeight w:val="8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27865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34777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34777</w:t>
            </w:r>
          </w:p>
        </w:tc>
      </w:tr>
      <w:tr>
        <w:trPr>
          <w:trHeight w:val="6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34777</w:t>
            </w:r>
          </w:p>
        </w:tc>
      </w:tr>
      <w:tr>
        <w:trPr>
          <w:trHeight w:val="5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26461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Коссейт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61595</w:t>
            </w:r>
          </w:p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14555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14555</w:t>
            </w:r>
          </w:p>
        </w:tc>
      </w:tr>
      <w:tr>
        <w:trPr>
          <w:trHeight w:val="5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14555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</w:p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33098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33098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33098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19867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</w:p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13942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13942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13942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за счет целевых трансфертов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13942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Коксуского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68230</w:t>
            </w:r>
          </w:p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33685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33685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33685</w:t>
            </w:r>
          </w:p>
        </w:tc>
      </w:tr>
      <w:tr>
        <w:trPr>
          <w:trHeight w:val="8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28315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30524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30524</w:t>
            </w:r>
          </w:p>
        </w:tc>
      </w:tr>
      <w:tr>
        <w:trPr>
          <w:trHeight w:val="6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30524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</w:t>
            </w:r>
          </w:p>
        </w:tc>
      </w:tr>
      <w:tr>
        <w:trPr>
          <w:trHeight w:val="8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за счет целевых трансфертов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Узын ата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69640</w:t>
            </w:r>
          </w:p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19066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19066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19066</w:t>
            </w:r>
          </w:p>
        </w:tc>
      </w:tr>
      <w:tr>
        <w:trPr>
          <w:trHeight w:val="8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32654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12808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</w:t>
            </w:r>
          </w:p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</w:t>
            </w:r>
          </w:p>
        </w:tc>
      </w:tr>
      <w:tr>
        <w:trPr>
          <w:trHeight w:val="5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</w:t>
            </w:r>
          </w:p>
        </w:tc>
      </w:tr>
      <w:tr>
        <w:trPr>
          <w:trHeight w:val="8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за счет целевых трансфертов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Алатау батыр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108427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19227</w:t>
            </w:r>
          </w:p>
        </w:tc>
      </w:tr>
      <w:tr>
        <w:trPr>
          <w:trHeight w:val="6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19227</w:t>
            </w:r>
          </w:p>
        </w:tc>
      </w:tr>
      <w:tr>
        <w:trPr>
          <w:trHeight w:val="6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19227</w:t>
            </w:r>
          </w:p>
        </w:tc>
      </w:tr>
      <w:tr>
        <w:trPr>
          <w:trHeight w:val="8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17827</w:t>
            </w:r>
          </w:p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81105</w:t>
            </w:r>
          </w:p>
        </w:tc>
      </w:tr>
      <w:tr>
        <w:trPr>
          <w:trHeight w:val="3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80505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80505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60659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</w:p>
        </w:tc>
      </w:tr>
      <w:tr>
        <w:trPr>
          <w:trHeight w:val="6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</w:p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Кызылкум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</w:t>
            </w:r>
          </w:p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</w:t>
            </w:r>
          </w:p>
        </w:tc>
      </w:tr>
      <w:tr>
        <w:trPr>
          <w:trHeight w:val="6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</w:t>
            </w:r>
          </w:p>
        </w:tc>
      </w:tr>
      <w:tr>
        <w:trPr>
          <w:trHeight w:val="8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13710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Акшенгелди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103638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23677</w:t>
            </w:r>
          </w:p>
        </w:tc>
      </w:tr>
      <w:tr>
        <w:trPr>
          <w:trHeight w:val="6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23677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23677</w:t>
            </w:r>
          </w:p>
        </w:tc>
      </w:tr>
      <w:tr>
        <w:trPr>
          <w:trHeight w:val="8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22742</w:t>
            </w:r>
          </w:p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17509</w:t>
            </w:r>
          </w:p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17509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17509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62452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62452</w:t>
            </w:r>
          </w:p>
        </w:tc>
      </w:tr>
      <w:tr>
        <w:trPr>
          <w:trHeight w:val="6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62452</w:t>
            </w:r>
          </w:p>
        </w:tc>
      </w:tr>
      <w:tr>
        <w:trPr>
          <w:trHeight w:val="5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сельских населенных пунктов по Программе занятости 2020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Суткент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41149</w:t>
            </w:r>
          </w:p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</w:t>
            </w:r>
          </w:p>
        </w:tc>
      </w:tr>
      <w:tr>
        <w:trPr>
          <w:trHeight w:val="6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</w:t>
            </w:r>
          </w:p>
        </w:tc>
      </w:tr>
      <w:tr>
        <w:trPr>
          <w:trHeight w:val="6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</w:t>
            </w:r>
          </w:p>
        </w:tc>
      </w:tr>
      <w:tr>
        <w:trPr>
          <w:trHeight w:val="8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</w:p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25448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25448</w:t>
            </w:r>
          </w:p>
        </w:tc>
      </w:tr>
      <w:tr>
        <w:trPr>
          <w:trHeight w:val="6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25448</w:t>
            </w:r>
          </w:p>
        </w:tc>
      </w:tr>
      <w:tr>
        <w:trPr>
          <w:trHeight w:val="6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</w:t>
            </w:r>
          </w:p>
        </w:tc>
      </w:tr>
      <w:tr>
        <w:trPr>
          <w:trHeight w:val="6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Достык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22445</w:t>
            </w:r>
          </w:p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22445</w:t>
            </w:r>
          </w:p>
        </w:tc>
      </w:tr>
      <w:tr>
        <w:trPr>
          <w:trHeight w:val="6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22445</w:t>
            </w:r>
          </w:p>
        </w:tc>
      </w:tr>
      <w:tr>
        <w:trPr>
          <w:trHeight w:val="6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22445</w:t>
            </w:r>
          </w:p>
        </w:tc>
      </w:tr>
      <w:tr>
        <w:trPr>
          <w:trHeight w:val="8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6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Шардара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47499</w:t>
            </w:r>
          </w:p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42856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42856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42856</w:t>
            </w:r>
          </w:p>
        </w:tc>
      </w:tr>
      <w:tr>
        <w:trPr>
          <w:trHeight w:val="8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39537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</w:t>
            </w:r>
          </w:p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№ 11-72-V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администраторов бюджетных программ, финансируемых из местного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689"/>
        <w:gridCol w:w="652"/>
        <w:gridCol w:w="691"/>
        <w:gridCol w:w="9261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Коды 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</w:tr>
      <w:tr>
        <w:trPr>
          <w:trHeight w:val="13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</w:tr>
      <w:tr>
        <w:trPr>
          <w:trHeight w:val="15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</w:tr>
      <w:tr>
        <w:trPr>
          <w:trHeight w:val="6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</w:tr>
      <w:tr>
        <w:trPr>
          <w:trHeight w:val="4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12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6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1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6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</w:tr>
      <w:tr>
        <w:trPr>
          <w:trHeight w:val="12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</w:tr>
      <w:tr>
        <w:trPr>
          <w:trHeight w:val="20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12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</w:tr>
      <w:tr>
        <w:trPr>
          <w:trHeight w:val="9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12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</w:tr>
      <w:tr>
        <w:trPr>
          <w:trHeight w:val="8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11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</w:tr>
      <w:tr>
        <w:trPr>
          <w:trHeight w:val="8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</w:tr>
    </w:tbl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№ 11-72-V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программ, не подлежащих секвестру в процессе исполнения местного бюджета на 2013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18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образования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2 464 003 «Общеобразовательное обучение»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