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e622" w14:textId="e6fe62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отдельным категориям нуждающихся граждан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27 июня 2012 года N 6/6-V. Зарегистрировано Департаментом юстиции Восточно-Казахстанской области 30 июля 2012 года за N 2621. Утратило силу решением Глубоковского районного маслихата от 21 апреля 2014 года N 26/5-V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Глубоковского районного маслихата от 21.04.2014 года N 26/5-V (</w:t>
      </w:r>
      <w:r>
        <w:rPr>
          <w:rFonts w:ascii="Times New Roman"/>
          <w:b w:val="false"/>
          <w:i w:val="false"/>
          <w:color w:val="ff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«О льготах и социальной защите участников, инвалидов Великой Отечественной войны и лиц, приравненных к ним»,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постановления Правительства Республики Казахстан от 7 апреля 2011 года № 394 «Об утверждении стандартов государственных услуг в сфере социальной защиты, оказываемых местными исполнительными органами» Глубоковский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следующие категории физических лиц, для получения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участники и инвалиды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лица, приравненные по льготам и гарантиям к участникам и инвалидам Великой Отечественной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другие категории лиц, приравненные по льготам и гарантиям к участникам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многодетные матери, награжденные подвесками «Алтын алқа», «Күміс алқа» или получившие ранее звание «Мать-героиня» и награжденные орденом «Материнская слава» 1, 2 степени, а так же многодетные матери, имеющие 4 и более совместно проживающих несовершеннолетних детей, в том числе детей, обучающихся в средних общеобразовательных, в высших и средних профессиональных учебных заведениях очной формы обучения, после достижения ими совершеннолетия и до времени окончания ими учебных заведений, но не более чем до достижения 23-летнего возраста;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жертвы политических репрессий, а также лица, пострадавшие от политических репрессий;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семьи воспитывающие детей, оставшихся без попечения родителей и семьи, воспитывающие детей с ограниченными возможностями до 16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дети-инвалиды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пенсионеры по возрасту;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инвалиды 1 и 2 группы;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малообеспеченные семьи (граждане);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оралманы;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граждане, имеющие онкологические заболевания и больные различной формой туберкулеза;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граждане, пострадавшие вследствие чрезвычайных ситуаций природного и техногенного характера.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Определить перечень документов, необходимых для получения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заявление об оказании социальной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документ, удостоверяющий личность;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документ, подтверждающий регистрацию по постоянному месту жительства (книга регистрации граждан, адресная справка либо справка акима поселка или сельского округа);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</w:t>
      </w:r>
      <w:r>
        <w:rPr>
          <w:rFonts w:ascii="Times New Roman"/>
          <w:b w:val="false"/>
          <w:i w:val="false"/>
          <w:color w:val="ff0000"/>
          <w:sz w:val="28"/>
        </w:rPr>
        <w:t xml:space="preserve">исключен решением Глубоковского районного маслихата от 20.05.2013 </w:t>
      </w:r>
      <w:r>
        <w:rPr>
          <w:rFonts w:ascii="Times New Roman"/>
          <w:b w:val="false"/>
          <w:i w:val="false"/>
          <w:color w:val="000000"/>
          <w:sz w:val="28"/>
        </w:rPr>
        <w:t>№ 15/3-V</w:t>
      </w:r>
      <w:r>
        <w:rPr>
          <w:rFonts w:ascii="Times New Roman"/>
          <w:b w:val="false"/>
          <w:i w:val="false"/>
          <w:color w:val="ff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документ, подтверждающий статус заявителя;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сведения о доходах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акт либо иной документ, подтверждающий наступление чрезвычайной ситуации, выдаваемый соответствующим уполномоченным органом;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документы, подтверждающие предстоящие или фактические финансовые затраты;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для больных туберкулезом справка медицинского учреждения о нахождении на лечении.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Документы предоставляются в подлинниках и копиях, после сверки подлинники документов возвращаются заявителю.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Глубоковского районного маслихата от 20.05.2013 </w:t>
      </w:r>
      <w:r>
        <w:rPr>
          <w:rFonts w:ascii="Times New Roman"/>
          <w:b w:val="false"/>
          <w:i w:val="false"/>
          <w:color w:val="000000"/>
          <w:sz w:val="28"/>
        </w:rPr>
        <w:t xml:space="preserve">№ 15/3-V </w:t>
      </w:r>
      <w:r>
        <w:rPr>
          <w:rFonts w:ascii="Times New Roman"/>
          <w:b w:val="false"/>
          <w:i w:val="false"/>
          <w:color w:val="ff0000"/>
          <w:sz w:val="28"/>
        </w:rPr>
        <w:t>(</w:t>
      </w:r>
      <w:r>
        <w:rPr>
          <w:rFonts w:ascii="Times New Roman"/>
          <w:b w:val="false"/>
          <w:i w:val="false"/>
          <w:color w:val="000000"/>
          <w:sz w:val="28"/>
        </w:rPr>
        <w:t>вводится в действие</w:t>
      </w:r>
      <w:r>
        <w:rPr>
          <w:rFonts w:ascii="Times New Roman"/>
          <w:b w:val="false"/>
          <w:i w:val="false"/>
          <w:color w:val="ff0000"/>
          <w:sz w:val="28"/>
        </w:rPr>
        <w:t> 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Коротков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Глубоковского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Баймульдинов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