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8184" w14:textId="db38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Уланского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11 декабря 2012 года N 495. Зарегистрировано Департаментом юстиции Восточно-Казахстанской области 10 января 2013 года N 2812. Утратило силу постановлением Уланского районного акимата от 13 декабря 2013 года N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акимата от 13.12.2013 N 176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 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 по Уланскому району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 лица, состоящие </w:t>
      </w:r>
      <w:r>
        <w:rPr>
          <w:rFonts w:ascii="Times New Roman"/>
          <w:b w:val="false"/>
          <w:i w:val="false"/>
          <w:color w:val="000000"/>
          <w:sz w:val="28"/>
        </w:rPr>
        <w:t>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Уланского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лиц, отнесенных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отнесенных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 постановления акимата: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29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835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определении целевых групп населения Уланского района на 2012 год» (зарегистрировано в реестре государственной регистрации нормативных правовых актов за № 5-17-160, опубликовано в газете «Ұлан таңы» № 7 от 24 января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19 октября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дополнения в постановление акимата от 29 декабря 2011 года № 835 «Об определении целевых групп населения Уланского района на 2012 год» (зарегистрировано в реестре государственной регистрации нормативных правовых актов за № 2717, опубликовано в газете «Ұлан таңы» № 92 от 23 ноября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Ибраева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Уланского района                      С. Туленбергенов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