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05da" w14:textId="03c0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Жанибекскому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30 марта 2012 года № 58. Зарегистрировано Департаментом юстиции Западно-Казахстанской области 20 апреля 2012 года № 7-6-136. Утратило силу постановлением акимата Жанибекского района Западно-Казахстанской области от 28 декабря 2012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28.12.2012 № 283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населения", в целях осуществления мероприятий способствующих занятости населения,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Постановлением акимата Жанибекского района Западно-Казахстанской области от 18.05.2012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Финансирования мероприятия по проведению молодежной практики осуществлять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Карашина Р.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Есенгалиев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