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8c3d" w14:textId="3ce8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23 июля 2010 года № 26/4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14 марта 2013 года N 15/4-V. Зарегистрировано Департаментом юстиции Восточно-Казахстанской области 04 апреля 2013 года N 2928. Утратило силу - решением Усть-Каменогорского городского маслихата Восточно-Казахстанской области от 23 декабря 2014 года N 34/5-V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23.12.2014 N 34/5-V (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определения размера и порядка оказания жилищной помощи" от 23 июля 2010 года № 26/4 (зарегистрировано в Реестре государственной регистрации нормативных правовых актов за номером 5-1-149, опубликовано 16 августа 2010 года в газете "Дидар" № 101, 14 августа 2010 года в газете "Рудный Алтай" № 100)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потребления электроэнергии в месяц – 90 кВт на каждого проживающего, для одиноко проживающих пенсионеров, инвалидов – 120 кВт. Для жилищ, отапливаемых посредством теплофонов, учитывается расход электроэнергии на отопление 1 кв.м – 38,9 кВт в месяц;".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Сарро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