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5a99f" w14:textId="b45a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населения, проживающих на территории Аягозского района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10 декабря 2013 года N 383. Зарегистрировано Департаментом юстиции Восточно-Казахстанской области 16 января 2014 года N 3165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- постановлением акимата Аягозского района Восточно-Казахстанской области от 02.12.2014 N 708.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в целях реализации государственной политики занятости с учетом ситуации на рынке труда и бюджетных средств, обеспечения дополнительных государственных гарантий в сфере занятости населения,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Определить следующие </w:t>
      </w:r>
      <w:r>
        <w:rPr>
          <w:rFonts w:ascii="Times New Roman"/>
          <w:b w:val="false"/>
          <w:i w:val="false"/>
          <w:color w:val="000000"/>
          <w:sz w:val="28"/>
        </w:rPr>
        <w:t>целевые группы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населения,проживающих на территории Аягозского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воспитанники детских домов, дети–сироты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граждане, имеющие на содержании лиц, которые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</w:t>
      </w:r>
      <w:r>
        <w:rPr>
          <w:rFonts w:ascii="Times New Roman"/>
          <w:b w:val="false"/>
          <w:i w:val="false"/>
          <w:color w:val="000000"/>
          <w:sz w:val="28"/>
        </w:rPr>
        <w:t>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лица,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>
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
</w:t>
      </w:r>
      <w:r>
        <w:rPr>
          <w:rFonts w:ascii="Times New Roman"/>
          <w:b w:val="false"/>
          <w:i w:val="false"/>
          <w:color w:val="000000"/>
          <w:sz w:val="28"/>
        </w:rPr>
        <w:t>
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
</w:t>
      </w:r>
      <w:r>
        <w:rPr>
          <w:rFonts w:ascii="Times New Roman"/>
          <w:b w:val="false"/>
          <w:i w:val="false"/>
          <w:color w:val="000000"/>
          <w:sz w:val="28"/>
        </w:rPr>
        <w:t>
лица, </w:t>
      </w:r>
      <w:r>
        <w:rPr>
          <w:rFonts w:ascii="Times New Roman"/>
          <w:b w:val="false"/>
          <w:i w:val="false"/>
          <w:color w:val="000000"/>
          <w:sz w:val="28"/>
        </w:rPr>
        <w:t>состоящие на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
</w:t>
      </w:r>
      <w:r>
        <w:rPr>
          <w:rFonts w:ascii="Times New Roman"/>
          <w:b w:val="false"/>
          <w:i w:val="false"/>
          <w:color w:val="000000"/>
          <w:sz w:val="28"/>
        </w:rPr>
        <w:t>
лица, не работающие длительное время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
</w:t>
      </w:r>
      <w:r>
        <w:rPr>
          <w:rFonts w:ascii="Times New Roman"/>
          <w:b w:val="false"/>
          <w:i w:val="false"/>
          <w:color w:val="000000"/>
          <w:sz w:val="28"/>
        </w:rPr>
        <w:t>
лица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
</w:t>
      </w:r>
      <w:r>
        <w:rPr>
          <w:rFonts w:ascii="Times New Roman"/>
          <w:b w:val="false"/>
          <w:i w:val="false"/>
          <w:color w:val="000000"/>
          <w:sz w:val="28"/>
        </w:rPr>
        <w:t>
одинокие, не имеющие кормильца;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
</w:t>
      </w:r>
      <w:r>
        <w:rPr>
          <w:rFonts w:ascii="Times New Roman"/>
          <w:b w:val="false"/>
          <w:i w:val="false"/>
          <w:color w:val="000000"/>
          <w:sz w:val="28"/>
        </w:rPr>
        <w:t>
наркозависимые граждане;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
</w:t>
      </w:r>
      <w:r>
        <w:rPr>
          <w:rFonts w:ascii="Times New Roman"/>
          <w:b w:val="false"/>
          <w:i w:val="false"/>
          <w:color w:val="000000"/>
          <w:sz w:val="28"/>
        </w:rPr>
        <w:t>
ВИЧ-инфицированные граждане;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
</w:t>
      </w:r>
      <w:r>
        <w:rPr>
          <w:rFonts w:ascii="Times New Roman"/>
          <w:b w:val="false"/>
          <w:i w:val="false"/>
          <w:color w:val="000000"/>
          <w:sz w:val="28"/>
        </w:rPr>
        <w:t>
лица из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
</w:t>
      </w:r>
      <w:r>
        <w:rPr>
          <w:rFonts w:ascii="Times New Roman"/>
          <w:b w:val="false"/>
          <w:i w:val="false"/>
          <w:color w:val="000000"/>
          <w:sz w:val="28"/>
        </w:rPr>
        <w:t>
лица, относящиеся к многодетной семье (имеющие 4 и более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района С. Искакова.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Нургалиев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