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34adf" w14:textId="f134a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утверждения нормативной численности персонала субъектов естественных монополий, за исключением региональной электросетевой компании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3 марта 2014 года № 49-ОД. Зарегистрирован в Министерстве юстиции Республики Казахстан 4 апреля 2014 года № 9296. Утратил силу приказом Министра национальной экономики Республики Казахстан от 18 марта 2015 года № 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18.03.2015 </w:t>
      </w:r>
      <w:r>
        <w:rPr>
          <w:rFonts w:ascii="Times New Roman"/>
          <w:b w:val="false"/>
          <w:i w:val="false"/>
          <w:color w:val="ff0000"/>
          <w:sz w:val="28"/>
        </w:rPr>
        <w:t>№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12-1 и 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13 Закона Республики Казахстан от 9 июля 1998 года «О естественных монополиях и регулируемых рынках»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нормативной численности персонала субъектов естественных монополий, за исключением региональной электросетевой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5 февраля 2009 года № 29-ОД «Об утверждении Правил утверждения нормативной численности персонала субъектов естественных монополий», (зарегистрированный в Реестре государственной регистрации нормативных правовых актов за № 5568, опубликованный в газете «Официальная газета» от 27 июня 2009 года № 26 (444)).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стратегического планирования, сводного анализа и международного сотрудничества Агентства Республики Казахстан по регулированию естественных монополий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 установленном законодательством порядке его опубликование в официальных средствах массовой информации с последующим представлением в Юридический департамент Агентства Республики Казахстан по регулированию естественных монополий сведений об опубликовании;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интернет-ресурсе Агентства Республики Казахстан по регулированию естественных монополий, после официального опубликования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административной работы Агентства Республики Казахстан по регулированию естественных монополий после государственной регистрации настоящего приказа в Министерстве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не превышающий десяти календарных дней направить копию в бумажном и электронном носителе для официального опубликования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Дуйсебаева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Председатель                               М.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5 марта 2014 год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естественных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2014 года № 49-ОД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утверждения нормативной численности персонала</w:t>
      </w:r>
      <w:r>
        <w:br/>
      </w:r>
      <w:r>
        <w:rPr>
          <w:rFonts w:ascii="Times New Roman"/>
          <w:b/>
          <w:i w:val="false"/>
          <w:color w:val="000000"/>
        </w:rPr>
        <w:t>
субъектов естественных монополий, за исключением региональной</w:t>
      </w:r>
      <w:r>
        <w:br/>
      </w:r>
      <w:r>
        <w:rPr>
          <w:rFonts w:ascii="Times New Roman"/>
          <w:b/>
          <w:i w:val="false"/>
          <w:color w:val="000000"/>
        </w:rPr>
        <w:t>
электросетевой компании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утверждения нормативной численности персонала субъектов естественных монополий, за исключением региональной электросетевой компании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1998 года «О естественных монополиях и регулируемых рынках».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представления, рассмотрения заявок на утверждение нормативной численности персонала субъектов естественных монополий, за исключением региональной электросетевой компании и их утверждение.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используется следующее понятие: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заявка - официальное обращение (заявление) субъекта естественной монополии в уполномоченный орган об утверждении нормативной численности персонала субъекта естественной монополии.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естественных монополиях и регулируемых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Нормативная численность утверждается уполномоченном органом на период, не превышающий срок действия типовых нормативов численности (норм труда), за исключением случаев подачи заявки Субъектом на утверждение нормативной численности, предшествующей </w:t>
      </w:r>
      <w:r>
        <w:rPr>
          <w:rFonts w:ascii="Times New Roman"/>
          <w:b w:val="false"/>
          <w:i w:val="false"/>
          <w:color w:val="000000"/>
          <w:sz w:val="28"/>
        </w:rPr>
        <w:t>подаче заявки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утверждение предельного уровня тарифов (цен, ставок сборов) и тарифных смет на регулируемые услуги (товары, работы) Субъекта.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представления заявки на утверждение</w:t>
      </w:r>
      <w:r>
        <w:br/>
      </w:r>
      <w:r>
        <w:rPr>
          <w:rFonts w:ascii="Times New Roman"/>
          <w:b/>
          <w:i w:val="false"/>
          <w:color w:val="000000"/>
        </w:rPr>
        <w:t>
нормативной численности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Субъект естественной монополии (далее - Субъект) представляет в уполномоченный орган заявку на утверждение нормативной численности персонала (далее - нормативная численность), применяемой при рассмотрении и утверждении тарифов (цен, ставок сборов) на регулируемые услуги (товары, работы), на бумажном и электронном носителях с приложением обосновывающих материалов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 заявке на утверждение нормативной численности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 с перечнем представляемых материалов на официальном бланке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материалы, обосновывающие расчет нормативной численности (необходимые расчеты для определения нормативной численности, перечень оборудования, связанных с оказанием регулируемых услуг и его характеристики);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сводная таблица данных нормативной численности и ранее утвержденной нормативной численности персонала за прошедший период, а также сложившейся фактической численности работников за текущий период и предыдущие два года по филиалам, представительствам и (или) структурным подразделениям Субъекта и категориям персонала (производственного персонала, административного персонала, а также персонала, занятого в обслуживающих хозяйствах и производствах), составленная по форме согласно приложению к настоящим Правилам, в том числе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типовые нормативы численности принимаемые в основу расчетов нормативной численности, утвержденные и согласованные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утверждения, замены и пересмотра типовых норм и нормативов по труду государственными органами соответствующих сфер деятельности, утвержденными приказом Министра труда и социальной защиты населения Республики Казахстан от 19 июля 2007 года № 166-п;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отчет по труду за текущий год и предшествующие два года (форма 1-т), утвержденный согласно </w:t>
      </w:r>
      <w:r>
        <w:rPr>
          <w:rFonts w:ascii="Times New Roman"/>
          <w:b w:val="false"/>
          <w:i w:val="false"/>
          <w:color w:val="000000"/>
          <w:sz w:val="28"/>
        </w:rPr>
        <w:t>подпункту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«О государственной статистике». Для вновь созданных Субъектов - отчет по труду за период работы, с момента образования Субъекта, как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Прилагаемые к заявке расчеты и обосновывающие материалы заявки прошиваются, пронумеровываются, заверяются печатью и подписью первого руководителя Субъекта, либо лицом его замещающим (с приложением копии приказа Субъекта о возложении обязанностей первого руководителя).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в течении пяти рабочих дней со дня получения заявки проверяет полноту представленных материалов и в письменной форме уведомляет Субъекта о принятии заявки к рассмотрению либо о мотивированном отказе в ее принятии. Основаниями для отказа в принятии заявки Субъекта к рассмотрению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или представление не в полном объеме документов и информации,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документов с нарушением требований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отказа в принятии заявки Субъекта к рассмотрению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Субъект обращается в уполномоченный орган с повторной заявкой.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рассмотрения заявки и утверждения</w:t>
      </w:r>
      <w:r>
        <w:br/>
      </w:r>
      <w:r>
        <w:rPr>
          <w:rFonts w:ascii="Times New Roman"/>
          <w:b/>
          <w:i w:val="false"/>
          <w:color w:val="000000"/>
        </w:rPr>
        <w:t>
нормативной численности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Заявка рассматривается уполномоченным органом в течение тридцати календарных дней. Срок рассмотрения заявки исчисляется со дня поступления заявки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проводит корректировку предлагаемого или действующего уровня нормативной численности персонала на основе анализа представленных Субъектом расчетов, типовых нормативов численности и материалов, обосновывающих расчет нормативной численности.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Решение уполномоченного органа об утверждении нормативной численности Субъекта оформляется приказом уполномоченного органа.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утверждения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нормативной численности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персонала субъектов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естественных монополий,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исключением региональной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электросетевой компании   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Сводная таблица нормативной и фактической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численности за текущий и прошедшие периоды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1"/>
        <w:gridCol w:w="2849"/>
        <w:gridCol w:w="1877"/>
        <w:gridCol w:w="1878"/>
        <w:gridCol w:w="1877"/>
        <w:gridCol w:w="1878"/>
      </w:tblGrid>
      <w:tr>
        <w:trPr>
          <w:trHeight w:val="30" w:hRule="atLeast"/>
        </w:trPr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Нормативная численность </w:t>
            </w:r>
          </w:p>
        </w:tc>
      </w:tr>
      <w:tr>
        <w:trPr>
          <w:trHeight w:val="30" w:hRule="atLeast"/>
        </w:trPr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Персонал, занятый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обслуживающих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хозяйствах</w:t>
            </w:r>
          </w:p>
        </w:tc>
      </w:tr>
      <w:tr>
        <w:trPr>
          <w:trHeight w:val="30" w:hRule="atLeast"/>
        </w:trPr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Ранее утвержденная нормативная численность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прошедший период </w:t>
            </w:r>
          </w:p>
        </w:tc>
      </w:tr>
      <w:tr>
        <w:trPr>
          <w:trHeight w:val="30" w:hRule="atLeast"/>
        </w:trPr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Персонал, занятый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обслуживающих производствах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хозяйствах</w:t>
            </w:r>
          </w:p>
        </w:tc>
      </w:tr>
      <w:tr>
        <w:trPr>
          <w:trHeight w:val="465" w:hRule="atLeast"/>
        </w:trPr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Фактическая численность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текущий период </w:t>
            </w:r>
          </w:p>
        </w:tc>
      </w:tr>
      <w:tr>
        <w:trPr>
          <w:trHeight w:val="30" w:hRule="atLeast"/>
        </w:trPr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Персонал, занятый в обслуживающих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производствах и хозяйствах </w:t>
            </w:r>
          </w:p>
        </w:tc>
      </w:tr>
      <w:tr>
        <w:trPr>
          <w:trHeight w:val="30" w:hRule="atLeast"/>
        </w:trPr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4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Фактическая численность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предыдущие 2 года </w:t>
            </w:r>
          </w:p>
        </w:tc>
      </w:tr>
      <w:tr>
        <w:trPr>
          <w:trHeight w:val="30" w:hRule="atLeast"/>
        </w:trPr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обслуживающих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хозяйствах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обслуживающих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хозяйствах </w:t>
            </w:r>
          </w:p>
        </w:tc>
      </w:tr>
      <w:tr>
        <w:trPr>
          <w:trHeight w:val="30" w:hRule="atLeast"/>
        </w:trPr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